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FB6A" w14:textId="77777777" w:rsidR="00913041" w:rsidRDefault="00913041" w:rsidP="00913041">
      <w:pPr>
        <w:pStyle w:val="Title"/>
      </w:pPr>
      <w:r>
        <w:t xml:space="preserve">LIETUVOS BANKO METINIŲ FINANSINIŲ ATASKAITŲ RINKINIŲ AUDITO </w:t>
      </w:r>
    </w:p>
    <w:p w14:paraId="72098131" w14:textId="75B4F787" w:rsidR="0098408C" w:rsidRDefault="00913041" w:rsidP="00913041">
      <w:pPr>
        <w:pStyle w:val="Title"/>
      </w:pPr>
      <w:r>
        <w:t>PASLAUGŲ (2025–2027 M.)</w:t>
      </w:r>
    </w:p>
    <w:p w14:paraId="1D1D7F33" w14:textId="52B7D8EB" w:rsidR="00563AC4" w:rsidRPr="00D14059" w:rsidRDefault="00563AC4" w:rsidP="00E2230C">
      <w:pPr>
        <w:pStyle w:val="Title"/>
      </w:pPr>
      <w:r w:rsidRPr="00D14059">
        <w:t>TECHNINĖ SPECIFIKACIJA</w:t>
      </w:r>
    </w:p>
    <w:p w14:paraId="0FA58F76" w14:textId="77777777" w:rsidR="00563AC4" w:rsidRPr="00641A9D" w:rsidRDefault="00563AC4" w:rsidP="00E2230C">
      <w:pPr>
        <w:spacing w:after="0" w:line="240" w:lineRule="auto"/>
        <w:rPr>
          <w:rFonts w:ascii="Verdana" w:hAnsi="Verdana"/>
          <w:sz w:val="16"/>
          <w:szCs w:val="16"/>
        </w:rPr>
      </w:pPr>
    </w:p>
    <w:p w14:paraId="46832447" w14:textId="77777777" w:rsidR="0098408C" w:rsidRPr="00641A9D" w:rsidRDefault="0098408C" w:rsidP="0098408C">
      <w:pPr>
        <w:spacing w:after="0" w:line="240" w:lineRule="auto"/>
        <w:ind w:left="1296"/>
        <w:rPr>
          <w:rFonts w:ascii="Verdana" w:hAnsi="Verdana"/>
          <w:b/>
          <w:caps/>
          <w:sz w:val="16"/>
          <w:szCs w:val="16"/>
        </w:rPr>
      </w:pPr>
    </w:p>
    <w:p w14:paraId="044A9DAD" w14:textId="77777777" w:rsidR="00E26915" w:rsidRPr="00E26915" w:rsidRDefault="00E26915" w:rsidP="00E26915">
      <w:pPr>
        <w:spacing w:after="0" w:line="240" w:lineRule="auto"/>
        <w:jc w:val="center"/>
        <w:rPr>
          <w:rFonts w:ascii="Verdana" w:hAnsi="Verdana"/>
          <w:b/>
          <w:caps/>
          <w:sz w:val="20"/>
          <w:szCs w:val="20"/>
        </w:rPr>
      </w:pPr>
    </w:p>
    <w:p w14:paraId="3D8FAC9F" w14:textId="77777777" w:rsidR="00E26915" w:rsidRPr="00E26915" w:rsidRDefault="00E26915" w:rsidP="00E26915">
      <w:pPr>
        <w:spacing w:after="0" w:line="240" w:lineRule="auto"/>
        <w:ind w:right="-1"/>
        <w:jc w:val="center"/>
        <w:rPr>
          <w:rFonts w:ascii="Verdana" w:hAnsi="Verdana"/>
          <w:sz w:val="20"/>
          <w:szCs w:val="20"/>
        </w:rPr>
      </w:pPr>
      <w:r w:rsidRPr="00E26915">
        <w:rPr>
          <w:rFonts w:ascii="Verdana" w:hAnsi="Verdana"/>
          <w:b/>
          <w:bCs/>
          <w:sz w:val="20"/>
          <w:szCs w:val="20"/>
        </w:rPr>
        <w:t>I. BENDROSIOS NUOSTATOS</w:t>
      </w:r>
    </w:p>
    <w:p w14:paraId="4BDE2122" w14:textId="77777777" w:rsidR="00E26915" w:rsidRPr="00E26915" w:rsidRDefault="00E26915" w:rsidP="00E26915">
      <w:pPr>
        <w:numPr>
          <w:ilvl w:val="0"/>
          <w:numId w:val="17"/>
        </w:numPr>
        <w:tabs>
          <w:tab w:val="left" w:pos="851"/>
        </w:tabs>
        <w:spacing w:after="0" w:line="240" w:lineRule="auto"/>
        <w:ind w:left="0" w:firstLine="567"/>
        <w:jc w:val="both"/>
        <w:rPr>
          <w:rFonts w:ascii="Verdana" w:hAnsi="Verdana"/>
          <w:sz w:val="20"/>
          <w:szCs w:val="20"/>
        </w:rPr>
      </w:pPr>
      <w:bookmarkStart w:id="0" w:name="7z"/>
      <w:r w:rsidRPr="00E26915">
        <w:rPr>
          <w:rFonts w:ascii="Verdana" w:hAnsi="Verdana"/>
          <w:sz w:val="20"/>
          <w:szCs w:val="20"/>
        </w:rPr>
        <w:t>Lietuvos Respublikoje centrinis bankas yra Lietuvos bankas, kuris nuosavybės teise priklauso Lietuvos valstybei. Lietuvos bankas yra sudedamoji Europos centrinių bankų sistemos dalis ir Europos centrinių bankų sistemos tikslų siekia bei uždavinius vykdo vadovaudamasis Europos Centrinio Banko (toliau – ECB) gairėmis ir nurodymais. Lietuvos bankas savo funkcijas atlieka ir veiklą vykdo tiek, kiek tai neprieštarauja ECB ir Europos centrinių bankų sistemos tikslams ir Europos Sąjungos teisės aktams, tarp jų ECB teisės aktams.</w:t>
      </w:r>
      <w:r w:rsidRPr="00E26915">
        <w:rPr>
          <w:rFonts w:ascii="Verdana" w:hAnsi="Verdana"/>
          <w:sz w:val="20"/>
          <w:szCs w:val="20"/>
          <w:vertAlign w:val="superscript"/>
        </w:rPr>
        <w:footnoteReference w:id="1"/>
      </w:r>
    </w:p>
    <w:p w14:paraId="23A9F93C" w14:textId="77777777" w:rsidR="00E26915" w:rsidRPr="00E26915" w:rsidRDefault="00E26915" w:rsidP="00E26915">
      <w:pPr>
        <w:numPr>
          <w:ilvl w:val="0"/>
          <w:numId w:val="17"/>
        </w:numPr>
        <w:tabs>
          <w:tab w:val="left" w:pos="851"/>
        </w:tabs>
        <w:spacing w:after="0" w:line="240" w:lineRule="auto"/>
        <w:ind w:left="0" w:firstLine="567"/>
        <w:jc w:val="both"/>
        <w:rPr>
          <w:rFonts w:ascii="Verdana" w:hAnsi="Verdana"/>
          <w:sz w:val="20"/>
          <w:szCs w:val="20"/>
        </w:rPr>
      </w:pPr>
      <w:r w:rsidRPr="00E26915">
        <w:rPr>
          <w:rFonts w:ascii="Verdana" w:hAnsi="Verdana"/>
          <w:sz w:val="20"/>
          <w:szCs w:val="20"/>
        </w:rPr>
        <w:t>Vadovaujantis Sutartimi dėl Europos Sąjungos veikimo, pagrindinis Lietuvos banko tikslas – palaikyti kainų stabilumą.</w:t>
      </w:r>
      <w:r w:rsidRPr="00E26915">
        <w:rPr>
          <w:rFonts w:ascii="Verdana" w:hAnsi="Verdana"/>
          <w:sz w:val="20"/>
          <w:szCs w:val="20"/>
          <w:vertAlign w:val="superscript"/>
        </w:rPr>
        <w:t>2</w:t>
      </w:r>
    </w:p>
    <w:p w14:paraId="4ACB2B25" w14:textId="77777777" w:rsidR="00E26915" w:rsidRPr="00E26915" w:rsidRDefault="00E26915" w:rsidP="00E26915">
      <w:pPr>
        <w:numPr>
          <w:ilvl w:val="0"/>
          <w:numId w:val="17"/>
        </w:numPr>
        <w:tabs>
          <w:tab w:val="left" w:pos="851"/>
        </w:tabs>
        <w:spacing w:after="0" w:line="240" w:lineRule="auto"/>
        <w:ind w:left="0" w:firstLine="567"/>
        <w:jc w:val="both"/>
        <w:rPr>
          <w:rFonts w:ascii="Verdana" w:hAnsi="Verdana"/>
          <w:sz w:val="20"/>
          <w:szCs w:val="20"/>
        </w:rPr>
      </w:pPr>
      <w:r w:rsidRPr="00E26915">
        <w:rPr>
          <w:rFonts w:ascii="Verdana" w:hAnsi="Verdana"/>
          <w:sz w:val="20"/>
          <w:szCs w:val="20"/>
        </w:rPr>
        <w:t>Vykdydamas Sutarties dėl Europos Sąjungos veikimo nuostatas ir veikdamas kaip sudedamoji Europos centrinių bankų sistemos dalis, Lietuvos bankas atlieka šias funkcijas:</w:t>
      </w:r>
      <w:r w:rsidRPr="00E26915">
        <w:rPr>
          <w:rFonts w:ascii="Verdana" w:hAnsi="Verdana"/>
          <w:sz w:val="20"/>
          <w:szCs w:val="20"/>
          <w:vertAlign w:val="superscript"/>
        </w:rPr>
        <w:t>2</w:t>
      </w:r>
    </w:p>
    <w:p w14:paraId="6F42F4B1"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 xml:space="preserve">išleidžia banknotus ir vykdo kitą su tuo susijusią veiklą; </w:t>
      </w:r>
    </w:p>
    <w:p w14:paraId="76B22ABA"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įgyvendina pinigų politiką;</w:t>
      </w:r>
    </w:p>
    <w:p w14:paraId="2C1E084C"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valdo, naudoja Lietuvos banko oficialiąsias užsienio atsargas ir jomis disponuoja;</w:t>
      </w:r>
    </w:p>
    <w:p w14:paraId="173126A6"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skatina patvarų ir veiksmingą mokėjimo ir vertybinių popierių atsiskaitymo sistemų veikimą, įskaitant Lietuvos banko valdomų mokėjimo ir kitų mokėjimų infrastruktūrą sudarančių informacinių sistemų vystymą;</w:t>
      </w:r>
    </w:p>
    <w:p w14:paraId="53A47C61"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renka Europos centrinių bankų sistemos uždaviniams vykdyti reikalingą statistinę informaciją iš valstybės ir savivaldybių institucijų ir ūkio subjektų.</w:t>
      </w:r>
    </w:p>
    <w:p w14:paraId="6844796A" w14:textId="77777777" w:rsidR="00E26915" w:rsidRPr="00E26915" w:rsidRDefault="00E26915" w:rsidP="00E26915">
      <w:pPr>
        <w:numPr>
          <w:ilvl w:val="0"/>
          <w:numId w:val="17"/>
        </w:numPr>
        <w:tabs>
          <w:tab w:val="left" w:pos="851"/>
        </w:tabs>
        <w:spacing w:after="0" w:line="240" w:lineRule="auto"/>
        <w:ind w:left="0" w:firstLine="567"/>
        <w:jc w:val="both"/>
        <w:rPr>
          <w:rFonts w:ascii="Verdana" w:hAnsi="Verdana"/>
          <w:sz w:val="20"/>
          <w:szCs w:val="20"/>
        </w:rPr>
      </w:pPr>
      <w:r w:rsidRPr="00E26915">
        <w:rPr>
          <w:rFonts w:ascii="Verdana" w:hAnsi="Verdana"/>
          <w:sz w:val="20"/>
          <w:szCs w:val="20"/>
        </w:rPr>
        <w:t>Lietuvos bankas taip pat:</w:t>
      </w:r>
      <w:r w:rsidRPr="00E26915">
        <w:rPr>
          <w:rFonts w:ascii="Verdana" w:hAnsi="Verdana"/>
          <w:sz w:val="20"/>
          <w:szCs w:val="20"/>
          <w:vertAlign w:val="superscript"/>
        </w:rPr>
        <w:t>1</w:t>
      </w:r>
    </w:p>
    <w:p w14:paraId="25F2D218"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pagal susitarimus su Sutarties dėl Europos Sąjungos veikimo Protokolo dėl Europos centrinių bankų sistemos ir ECB statuto 21.1 straipsnyje nustatytais viešaisiais subjektais atlieka fiskalinio agento funkcijas;</w:t>
      </w:r>
    </w:p>
    <w:p w14:paraId="6F729C7C"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atlieka finansų rinkos priežiūrą, išskyrus atvejus, kai pagal 2013 m. spalio 15 d. Tarybos reglamento (ES) Nr. 1024/2013, kuriuo ECB pavedami specialūs uždaviniai, susiję su rizikos ribojimu pagrįstos kredito įstaigų priežiūros politika (OL 2013 L 287, p. 63) (toliau – Reglamentas (ES) Nr. 1024/2013), nuostatas šias funkcijas atlieka ECB, taip pat pagal Reglamentą (ES) Nr. 1024/2013 nacionalinei priežiūros institucijai priskirtas funkcijas;</w:t>
      </w:r>
    </w:p>
    <w:p w14:paraId="1AEA42FA"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 xml:space="preserve">ne teismo tvarka nagrinėja vartotojų ir finansų rinkos dalyvių ginčus; </w:t>
      </w:r>
    </w:p>
    <w:p w14:paraId="28182319"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renka Lietuvos banko funkcijoms, nesusijusioms su Europos centrinių bankų sistemos veikla, vykdyti reikalingą statistinę informaciją iš valstybės ir savivaldybių institucijų ir ūkio subjektų, nustato jos rinkimo, sudarymo ir platinimo tvarką, taip pat sudaro Lietuvos Respublikos mokėjimų ir tarptautinių investicijų balansus ir finansines sąskaitas;</w:t>
      </w:r>
    </w:p>
    <w:p w14:paraId="41074B5A"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savo nustatyta tvarka, sąlygomis ir terminais gali duoti paskolas, užtikrintas įkeičiamu Lietuvos bankui pakankamu turtu, Lietuvos Respublikoje įregistruotoms kredito ir kitoms finansų įstaigoms, draudimo ar perdraudimo veikla užsiimančioms įmonėms, jei tai neprieštarauja reikalavimams, atsirandantiems dėl Lietuvos banko dalyvavimo Europos centrinių bankų sistemoje, ypač reikalavimams, atsirandantiems dėl viešosios teisės subjektų vardu atliekamų operacijų;</w:t>
      </w:r>
    </w:p>
    <w:p w14:paraId="4FE28A4B"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išleidžia monetas, laikydamasis Sutarties dėl Europos Sąjungos veikimo reikalavimų, ir vykdo kitą su tuo susijusią veiklą;</w:t>
      </w:r>
    </w:p>
    <w:p w14:paraId="40E04DD7"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 xml:space="preserve">vykdo politiką, kuria siekia prisidėti prie visos finansų sistemos stabilumo apsaugos, įskaitant finansų sistemos atsparumo stiprinimą ir sisteminės rizikos susidarymo mažinimą, kad būtų užtikrintas tvarus finansų sektoriaus įnašas į ekonomikos augimą (toliau – </w:t>
      </w:r>
      <w:proofErr w:type="spellStart"/>
      <w:r w:rsidRPr="00E26915">
        <w:rPr>
          <w:rFonts w:ascii="Verdana" w:eastAsia="Arial Unicode MS" w:hAnsi="Verdana"/>
          <w:sz w:val="20"/>
          <w:szCs w:val="20"/>
        </w:rPr>
        <w:t>makroprudencinė</w:t>
      </w:r>
      <w:proofErr w:type="spellEnd"/>
      <w:r w:rsidRPr="00E26915">
        <w:rPr>
          <w:rFonts w:ascii="Verdana" w:eastAsia="Arial Unicode MS" w:hAnsi="Verdana"/>
          <w:sz w:val="20"/>
          <w:szCs w:val="20"/>
        </w:rPr>
        <w:t xml:space="preserve"> politika);</w:t>
      </w:r>
    </w:p>
    <w:p w14:paraId="78170ED6"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atlieka Lietuvos Respublikos įstatymais finansų sektoriaus subjektų pertvarkymo institucijai priskirtas funkcijas, išskyrus atvejus, kai pagal 2014 m. liepos 15 d. Europos Parlamento ir Tarybos reglamento (ES) Nr. 806/2014, kuriuo nustatomos kredito įstaigų ir tam tikrų investicinių įmonių pertvarkymo vienodos taisyklės ir vienoda procedūra, kiek tai susiję su bendru pertvarkymo mechanizmu ir Bendru pertvarkymo fondu, ir iš dalies keičiamas Reglamentas (ES) Nr. 1093/2010 (su visais pakeitimais), nuostatas šias funkcijas atlieka Bendra pertvarkymo valdyba, taip pat pagal Reglamentą (ES) Nr. 806/2014 atlieka nacionalinei pertvarkymo institucijai priskirtas funkcijas, o pagal Reglamentą (ES) 2021/23 – pagrindinių sandorio šalių pertvarkymo institucijai priskirtas funkcijas.</w:t>
      </w:r>
    </w:p>
    <w:p w14:paraId="27A130DD" w14:textId="77777777" w:rsidR="00E26915" w:rsidRPr="00E26915" w:rsidRDefault="00E26915" w:rsidP="00E26915">
      <w:pPr>
        <w:numPr>
          <w:ilvl w:val="0"/>
          <w:numId w:val="17"/>
        </w:numPr>
        <w:tabs>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lastRenderedPageBreak/>
        <w:t>Lietuvos bankas finansinę apskaitą tvarko ir metines finansines ataskaitas sudaro vadovaudamasis ECB valdančiosios tarybos patvirtintomis ECB gairėmis dėl Europos centrinių bankų sistemos apskaitos ir finansinės atskaitomybės teisinio pagrindo (toliau – Apskaitos gairės), Lietuvos banko įstatymu ir Lietuvos banko valdybos patvirtinta Lietuvos banko apskaitos politika. Tose finansinės apskaitos srityse, kurių nereglamentuoja Apskaitos gairės ir Lietuvos banko apskaitos politika ir kai nėra atitinkamai sričiai taikomų ECB reikalavimų arba nurodymų, vadovaujamasi Lietuvos bankui taikytinais ES teisės aktais patvirtintų tarptautinių apskaitos ir finansinės atskaitomybės standartų principais.</w:t>
      </w:r>
      <w:r w:rsidRPr="00E26915">
        <w:rPr>
          <w:rFonts w:ascii="Verdana" w:hAnsi="Verdana" w:cs="FrutigerLT-Light"/>
          <w:sz w:val="20"/>
          <w:szCs w:val="20"/>
        </w:rPr>
        <w:t xml:space="preserve"> </w:t>
      </w:r>
    </w:p>
    <w:p w14:paraId="6DDC5158" w14:textId="77777777" w:rsidR="00E26915" w:rsidRPr="00E26915" w:rsidRDefault="00E26915" w:rsidP="00E26915">
      <w:pPr>
        <w:numPr>
          <w:ilvl w:val="0"/>
          <w:numId w:val="17"/>
        </w:numPr>
        <w:tabs>
          <w:tab w:val="left" w:pos="567"/>
          <w:tab w:val="left" w:pos="993"/>
        </w:tabs>
        <w:spacing w:after="0" w:line="240" w:lineRule="auto"/>
        <w:ind w:left="0" w:firstLine="567"/>
        <w:jc w:val="both"/>
        <w:rPr>
          <w:rFonts w:ascii="Verdana" w:hAnsi="Verdana"/>
          <w:sz w:val="20"/>
          <w:szCs w:val="20"/>
        </w:rPr>
      </w:pPr>
      <w:r w:rsidRPr="00E26915">
        <w:rPr>
          <w:rFonts w:ascii="Verdana" w:hAnsi="Verdana"/>
          <w:sz w:val="20"/>
          <w:szCs w:val="20"/>
        </w:rPr>
        <w:t>Lietuvos banko metinių finansinių ataskaitų rinkinių auditą atlieka Lietuvos banko parinkti nepriklausomi išorės auditoriai, kuriuos tvirtina Europos Sąjungos Taryba rekomendavus ECB (LR Lietuvos banko įstatymo 50 str.). Pirkimo sutartis bus pasirašoma jeigu Lietuvos banko parinktą nepriklausomą išorės auditorių (</w:t>
      </w:r>
      <w:r w:rsidRPr="00E26915">
        <w:rPr>
          <w:rFonts w:ascii="Verdana" w:eastAsia="Times New Roman" w:hAnsi="Verdana"/>
          <w:bCs/>
          <w:sz w:val="20"/>
          <w:szCs w:val="20"/>
        </w:rPr>
        <w:t xml:space="preserve">konkurso </w:t>
      </w:r>
      <w:r w:rsidRPr="00E26915">
        <w:rPr>
          <w:rFonts w:ascii="Verdana" w:hAnsi="Verdana"/>
          <w:sz w:val="20"/>
          <w:szCs w:val="20"/>
        </w:rPr>
        <w:t xml:space="preserve">laimėtoją) patvirtins Europos Sąjungos Taryba rekomendavus </w:t>
      </w:r>
      <w:r w:rsidRPr="00E26915">
        <w:rPr>
          <w:rFonts w:ascii="Verdana" w:eastAsia="Times New Roman" w:hAnsi="Verdana"/>
          <w:bCs/>
          <w:sz w:val="20"/>
          <w:szCs w:val="20"/>
        </w:rPr>
        <w:t xml:space="preserve">ECB ir kai Tarybos sprendimas bus paskelbtas </w:t>
      </w:r>
      <w:proofErr w:type="spellStart"/>
      <w:r w:rsidRPr="00E26915">
        <w:rPr>
          <w:rFonts w:ascii="Verdana" w:eastAsia="Times New Roman" w:hAnsi="Verdana"/>
          <w:bCs/>
          <w:sz w:val="20"/>
          <w:szCs w:val="20"/>
        </w:rPr>
        <w:t>Eur-Lex</w:t>
      </w:r>
      <w:r w:rsidRPr="00E26915">
        <w:rPr>
          <w:rFonts w:ascii="Verdana" w:hAnsi="Verdana"/>
          <w:sz w:val="20"/>
          <w:szCs w:val="20"/>
        </w:rPr>
        <w:t>.</w:t>
      </w:r>
      <w:proofErr w:type="spellEnd"/>
      <w:r w:rsidRPr="00E26915">
        <w:rPr>
          <w:rFonts w:ascii="Verdana" w:hAnsi="Verdana"/>
          <w:sz w:val="20"/>
          <w:szCs w:val="20"/>
        </w:rPr>
        <w:t xml:space="preserve"> </w:t>
      </w:r>
      <w:r w:rsidRPr="00E26915">
        <w:rPr>
          <w:rFonts w:ascii="Verdana" w:eastAsia="Times New Roman" w:hAnsi="Verdana"/>
          <w:bCs/>
          <w:sz w:val="20"/>
          <w:szCs w:val="20"/>
        </w:rPr>
        <w:t>Tvirtinimo procedūra gali užtrukti iki 6 mėn.</w:t>
      </w:r>
    </w:p>
    <w:p w14:paraId="38298C9D" w14:textId="77777777" w:rsidR="00E26915" w:rsidRPr="00E26915" w:rsidRDefault="00E26915" w:rsidP="00E26915">
      <w:pPr>
        <w:spacing w:after="0" w:line="240" w:lineRule="auto"/>
        <w:ind w:firstLine="567"/>
        <w:jc w:val="both"/>
        <w:rPr>
          <w:rFonts w:ascii="Verdana" w:hAnsi="Verdana"/>
          <w:sz w:val="20"/>
          <w:szCs w:val="20"/>
        </w:rPr>
      </w:pPr>
      <w:r w:rsidRPr="00E26915">
        <w:rPr>
          <w:rFonts w:ascii="Verdana" w:hAnsi="Verdana"/>
          <w:sz w:val="20"/>
          <w:szCs w:val="20"/>
          <w:lang w:eastAsia="lt-LT"/>
        </w:rPr>
        <w:t xml:space="preserve">Jeigu </w:t>
      </w:r>
      <w:r w:rsidRPr="00E26915">
        <w:rPr>
          <w:rFonts w:ascii="Verdana" w:eastAsia="Times New Roman" w:hAnsi="Verdana"/>
          <w:bCs/>
          <w:sz w:val="20"/>
          <w:szCs w:val="20"/>
        </w:rPr>
        <w:t>Europos Sąjungos</w:t>
      </w:r>
      <w:r w:rsidRPr="00E26915">
        <w:rPr>
          <w:rFonts w:ascii="Verdana" w:hAnsi="Verdana"/>
          <w:sz w:val="20"/>
          <w:szCs w:val="20"/>
          <w:lang w:eastAsia="lt-LT"/>
        </w:rPr>
        <w:t xml:space="preserve"> Taryba nepritars </w:t>
      </w:r>
      <w:r w:rsidRPr="00E26915">
        <w:rPr>
          <w:rFonts w:ascii="Verdana" w:eastAsia="Times New Roman" w:hAnsi="Verdana"/>
          <w:bCs/>
          <w:sz w:val="20"/>
          <w:szCs w:val="20"/>
        </w:rPr>
        <w:t>ECB</w:t>
      </w:r>
      <w:r w:rsidRPr="00E26915">
        <w:rPr>
          <w:rFonts w:ascii="Verdana" w:hAnsi="Verdana"/>
          <w:sz w:val="20"/>
          <w:szCs w:val="20"/>
          <w:lang w:eastAsia="lt-LT"/>
        </w:rPr>
        <w:t xml:space="preserve"> rekomendacijai, t.y. nenotifikuos Lietuvos banko pasirinkimo, </w:t>
      </w:r>
      <w:r w:rsidRPr="00E26915">
        <w:rPr>
          <w:rFonts w:ascii="Verdana" w:eastAsia="Times New Roman" w:hAnsi="Verdana"/>
          <w:bCs/>
          <w:sz w:val="20"/>
          <w:szCs w:val="20"/>
        </w:rPr>
        <w:t xml:space="preserve">konkurso </w:t>
      </w:r>
      <w:r w:rsidRPr="00E26915">
        <w:rPr>
          <w:rFonts w:ascii="Verdana" w:hAnsi="Verdana"/>
          <w:sz w:val="20"/>
          <w:szCs w:val="20"/>
        </w:rPr>
        <w:t>laimėtojas</w:t>
      </w:r>
      <w:r w:rsidRPr="00E26915">
        <w:rPr>
          <w:rFonts w:ascii="Verdana" w:hAnsi="Verdana"/>
          <w:sz w:val="20"/>
          <w:szCs w:val="20"/>
          <w:lang w:eastAsia="lt-LT"/>
        </w:rPr>
        <w:t xml:space="preserve"> bus atšauktas vienašališkai be jokių baudų ir toliau bus veikiama pagal situaciją, t.y. arba siūloma pasirašyti teikėjui, kurio pasiūlymas pagal nustatytą pasiūlymų eilę yra pirmas po </w:t>
      </w:r>
      <w:r w:rsidRPr="00E26915">
        <w:rPr>
          <w:rFonts w:ascii="Verdana" w:eastAsia="Times New Roman" w:hAnsi="Verdana"/>
          <w:bCs/>
          <w:sz w:val="20"/>
          <w:szCs w:val="20"/>
        </w:rPr>
        <w:t>Europos Sąjungos</w:t>
      </w:r>
      <w:r w:rsidRPr="00E26915">
        <w:rPr>
          <w:rFonts w:ascii="Verdana" w:hAnsi="Verdana"/>
          <w:sz w:val="20"/>
          <w:szCs w:val="20"/>
          <w:lang w:eastAsia="lt-LT"/>
        </w:rPr>
        <w:t xml:space="preserve"> Tarybos nepatvirtinto teikėjo, arba veikiama vadovaujantis </w:t>
      </w:r>
      <w:r w:rsidRPr="00E26915">
        <w:rPr>
          <w:rFonts w:ascii="Verdana" w:eastAsia="Times New Roman" w:hAnsi="Verdana"/>
          <w:bCs/>
          <w:sz w:val="20"/>
          <w:szCs w:val="20"/>
        </w:rPr>
        <w:t>Europos Sąjungos</w:t>
      </w:r>
      <w:r w:rsidRPr="00E26915">
        <w:rPr>
          <w:rFonts w:ascii="Verdana" w:hAnsi="Verdana"/>
          <w:sz w:val="20"/>
          <w:szCs w:val="20"/>
          <w:lang w:eastAsia="lt-LT"/>
        </w:rPr>
        <w:t xml:space="preserve"> Tarybos išvada. </w:t>
      </w:r>
    </w:p>
    <w:p w14:paraId="2D042F63" w14:textId="77777777" w:rsidR="00E26915" w:rsidRPr="00E26915" w:rsidRDefault="00E26915" w:rsidP="00E26915">
      <w:pPr>
        <w:numPr>
          <w:ilvl w:val="0"/>
          <w:numId w:val="17"/>
        </w:numPr>
        <w:tabs>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t xml:space="preserve">Daugiau informacijos apie Lietuvos banką galima rasti interneto svetainėje </w:t>
      </w:r>
      <w:hyperlink r:id="rId7" w:history="1">
        <w:r w:rsidRPr="00E26915">
          <w:rPr>
            <w:rFonts w:ascii="Verdana" w:hAnsi="Verdana"/>
            <w:color w:val="0000FF"/>
            <w:sz w:val="20"/>
            <w:szCs w:val="20"/>
            <w:u w:val="single"/>
          </w:rPr>
          <w:t>www.lb.lt</w:t>
        </w:r>
      </w:hyperlink>
      <w:r w:rsidRPr="00E26915">
        <w:rPr>
          <w:rFonts w:ascii="Verdana" w:hAnsi="Verdana"/>
          <w:sz w:val="20"/>
          <w:szCs w:val="20"/>
        </w:rPr>
        <w:t>.</w:t>
      </w:r>
    </w:p>
    <w:bookmarkEnd w:id="0"/>
    <w:p w14:paraId="149AC654" w14:textId="77777777" w:rsidR="00E26915" w:rsidRPr="00E26915" w:rsidRDefault="00E26915" w:rsidP="00E26915">
      <w:pPr>
        <w:spacing w:after="0" w:line="240" w:lineRule="auto"/>
        <w:jc w:val="center"/>
        <w:rPr>
          <w:rFonts w:ascii="Verdana" w:hAnsi="Verdana"/>
          <w:b/>
          <w:bCs/>
          <w:sz w:val="20"/>
          <w:szCs w:val="20"/>
        </w:rPr>
      </w:pPr>
    </w:p>
    <w:p w14:paraId="10B7446F" w14:textId="77777777" w:rsidR="00E26915" w:rsidRPr="00E26915" w:rsidRDefault="00E26915" w:rsidP="00E26915">
      <w:pPr>
        <w:spacing w:after="0" w:line="240" w:lineRule="auto"/>
        <w:jc w:val="center"/>
        <w:rPr>
          <w:rFonts w:ascii="Verdana" w:hAnsi="Verdana"/>
          <w:b/>
          <w:bCs/>
          <w:sz w:val="20"/>
          <w:szCs w:val="20"/>
        </w:rPr>
      </w:pPr>
      <w:r w:rsidRPr="00E26915">
        <w:rPr>
          <w:rFonts w:ascii="Verdana" w:hAnsi="Verdana"/>
          <w:b/>
          <w:bCs/>
          <w:sz w:val="20"/>
          <w:szCs w:val="20"/>
        </w:rPr>
        <w:t>II. REIKALAVIMAI TEIKIAMOMS PASLAUGOMS</w:t>
      </w:r>
    </w:p>
    <w:p w14:paraId="61C9077A" w14:textId="77777777" w:rsidR="00E26915" w:rsidRPr="00E26915" w:rsidRDefault="00E26915" w:rsidP="00E26915">
      <w:pPr>
        <w:numPr>
          <w:ilvl w:val="0"/>
          <w:numId w:val="17"/>
        </w:numPr>
        <w:tabs>
          <w:tab w:val="left" w:pos="426"/>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t xml:space="preserve">Auditas turi būti atliktas vadovaujantis Lietuvos Respublikos finansinių ataskaitų audito įstatymu </w:t>
      </w:r>
      <w:r w:rsidRPr="00E26915">
        <w:rPr>
          <w:rFonts w:ascii="Verdana" w:hAnsi="Verdana"/>
          <w:bCs/>
          <w:sz w:val="20"/>
          <w:szCs w:val="20"/>
        </w:rPr>
        <w:t xml:space="preserve">bei </w:t>
      </w:r>
      <w:r w:rsidRPr="00E26915">
        <w:rPr>
          <w:rFonts w:ascii="Verdana" w:hAnsi="Verdana"/>
          <w:sz w:val="20"/>
          <w:szCs w:val="20"/>
        </w:rPr>
        <w:t>tarptautiniais audito standartais ir Buhalterių profesionalų etikos kodeksu.</w:t>
      </w:r>
    </w:p>
    <w:p w14:paraId="7830B327" w14:textId="77777777" w:rsidR="00E26915" w:rsidRPr="00E26915" w:rsidRDefault="00E26915" w:rsidP="00E26915">
      <w:pPr>
        <w:numPr>
          <w:ilvl w:val="0"/>
          <w:numId w:val="17"/>
        </w:numPr>
        <w:tabs>
          <w:tab w:val="left" w:pos="426"/>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t xml:space="preserve">Teikėjas (Auditorius) turi atlikti Lietuvos banko 2025 m., 2026 m. ir 2027 m. metinių finansinių ataskaitų rinkinių auditą, </w:t>
      </w:r>
      <w:r w:rsidRPr="00E26915">
        <w:rPr>
          <w:rFonts w:ascii="Verdana" w:hAnsi="Verdana"/>
          <w:color w:val="000000"/>
          <w:sz w:val="20"/>
          <w:szCs w:val="20"/>
        </w:rPr>
        <w:t>pirkėjui paprašius teikti paaiškinimus dėl teikėjo pateiktų pasiūlymų perkančiosios organizacijos vadovybei ir auditoriaus išvados nepažeidžiant teikėjo ir (arba) sutartį vykdysiančių auditorių nepriklausomumo pagal tarptautinius audito standartus ir Buhalterių profesionalų etikos kodeksą.</w:t>
      </w:r>
    </w:p>
    <w:p w14:paraId="7F55C537" w14:textId="77777777" w:rsidR="00E26915" w:rsidRPr="00E26915" w:rsidRDefault="00E26915" w:rsidP="00E26915">
      <w:pPr>
        <w:numPr>
          <w:ilvl w:val="0"/>
          <w:numId w:val="17"/>
        </w:numPr>
        <w:tabs>
          <w:tab w:val="left" w:pos="426"/>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t>Audito tikslai:</w:t>
      </w:r>
    </w:p>
    <w:p w14:paraId="187BDE79"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 xml:space="preserve">nustatyti, ar Lietuvos banko atitinkamų metų finansinių ataskaitų rinkinys visais reikšmingais atžvilgiais tikrai ir teisingai parodo Lietuvos banko finansinę būklę ir jo veiklos rezultatus pagal taikomus finansinės atskaitomybės reikalavimus; </w:t>
      </w:r>
    </w:p>
    <w:p w14:paraId="63127570" w14:textId="77777777" w:rsidR="00E26915" w:rsidRPr="00E26915" w:rsidRDefault="00E26915" w:rsidP="00E26915">
      <w:pPr>
        <w:numPr>
          <w:ilvl w:val="1"/>
          <w:numId w:val="17"/>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Verdana" w:eastAsia="Arial Unicode MS" w:hAnsi="Verdana"/>
          <w:sz w:val="20"/>
          <w:szCs w:val="20"/>
        </w:rPr>
      </w:pPr>
      <w:r w:rsidRPr="00E26915">
        <w:rPr>
          <w:rFonts w:ascii="Verdana" w:eastAsia="Arial Unicode MS" w:hAnsi="Verdana"/>
          <w:sz w:val="20"/>
          <w:szCs w:val="20"/>
        </w:rPr>
        <w:t>nustatyti, ar finansinių ataskaitų rinkinys parengtas vadovaujantis ECB teisės aktais, gairėmis ir nurodymais, reglamentuojančiais nacionalinių centrinių bankų vykdomų operacijų apskaitą ir finansinių ataskaitų rengimą.</w:t>
      </w:r>
    </w:p>
    <w:p w14:paraId="56302D57" w14:textId="77777777" w:rsidR="00E26915" w:rsidRPr="00E26915" w:rsidRDefault="00E26915" w:rsidP="00E26915">
      <w:pPr>
        <w:numPr>
          <w:ilvl w:val="0"/>
          <w:numId w:val="17"/>
        </w:numPr>
        <w:tabs>
          <w:tab w:val="left" w:pos="426"/>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t>Auditoriaus išvados projektas turi būti pateiktas Lietuvos bankui per susitartą laiką po Lietuvos banko finansinių ataskaitų rinkinio projekto pateikimo teikėjui, bet ne vėliau kaip iki atitinkamų metų (2026 m., 2027 m. ir 2028 m.) kovo 31 d.</w:t>
      </w:r>
    </w:p>
    <w:p w14:paraId="114852C7" w14:textId="77777777" w:rsidR="00E26915" w:rsidRPr="00E26915" w:rsidRDefault="00E26915" w:rsidP="00E26915">
      <w:pPr>
        <w:numPr>
          <w:ilvl w:val="0"/>
          <w:numId w:val="17"/>
        </w:numPr>
        <w:tabs>
          <w:tab w:val="left" w:pos="426"/>
          <w:tab w:val="left" w:pos="851"/>
          <w:tab w:val="left" w:pos="993"/>
        </w:tabs>
        <w:spacing w:after="0" w:line="240" w:lineRule="auto"/>
        <w:ind w:left="0" w:firstLine="567"/>
        <w:jc w:val="both"/>
        <w:rPr>
          <w:rFonts w:ascii="Verdana" w:hAnsi="Verdana"/>
          <w:sz w:val="20"/>
          <w:szCs w:val="20"/>
        </w:rPr>
      </w:pPr>
      <w:r w:rsidRPr="00E26915">
        <w:rPr>
          <w:rFonts w:ascii="Verdana" w:hAnsi="Verdana"/>
          <w:sz w:val="20"/>
          <w:szCs w:val="20"/>
        </w:rPr>
        <w:t>Pasirašyta auditoriaus išvada turi būti pateikta nedelsiant po to, kai Lietuvos banko valdyba patvirtina atitinkamų metų finansinių ataskaitų rinkinį, bet ne vėliau kaip iki atitinkamų metų (2026 m., 2027 m. ir 2028 m.) balandžio 25 d.</w:t>
      </w:r>
    </w:p>
    <w:p w14:paraId="1E9C4C8D" w14:textId="77777777" w:rsidR="00E26915" w:rsidRPr="00E26915" w:rsidRDefault="00E26915" w:rsidP="00E26915">
      <w:pPr>
        <w:numPr>
          <w:ilvl w:val="0"/>
          <w:numId w:val="17"/>
        </w:numPr>
        <w:tabs>
          <w:tab w:val="left" w:pos="851"/>
          <w:tab w:val="left" w:pos="993"/>
        </w:tabs>
        <w:spacing w:after="0" w:line="240" w:lineRule="auto"/>
        <w:ind w:left="0" w:firstLine="567"/>
        <w:jc w:val="both"/>
        <w:outlineLvl w:val="1"/>
        <w:rPr>
          <w:rFonts w:ascii="Verdana" w:hAnsi="Verdana"/>
          <w:sz w:val="20"/>
          <w:szCs w:val="20"/>
        </w:rPr>
      </w:pPr>
      <w:r w:rsidRPr="00E26915">
        <w:rPr>
          <w:rFonts w:ascii="Verdana" w:hAnsi="Verdana"/>
          <w:sz w:val="20"/>
          <w:szCs w:val="20"/>
        </w:rPr>
        <w:t>Auditoriaus išvados projektas ir išvada turi būti pateikti lietuvių ir anglų kalbomis.</w:t>
      </w:r>
    </w:p>
    <w:p w14:paraId="6D316FCC" w14:textId="77777777" w:rsidR="00E26915" w:rsidRPr="00E26915" w:rsidRDefault="00E26915" w:rsidP="00E26915">
      <w:pPr>
        <w:numPr>
          <w:ilvl w:val="0"/>
          <w:numId w:val="17"/>
        </w:numPr>
        <w:tabs>
          <w:tab w:val="left" w:pos="851"/>
          <w:tab w:val="left" w:pos="993"/>
        </w:tabs>
        <w:spacing w:after="0" w:line="240" w:lineRule="auto"/>
        <w:ind w:left="0" w:firstLine="567"/>
        <w:jc w:val="both"/>
        <w:outlineLvl w:val="1"/>
        <w:rPr>
          <w:rFonts w:ascii="Verdana" w:hAnsi="Verdana"/>
          <w:sz w:val="20"/>
          <w:szCs w:val="20"/>
        </w:rPr>
      </w:pPr>
      <w:r w:rsidRPr="00E26915">
        <w:rPr>
          <w:rFonts w:ascii="Verdana" w:hAnsi="Verdana"/>
          <w:sz w:val="20"/>
          <w:szCs w:val="20"/>
        </w:rPr>
        <w:t>Tiesiogiai ECB išorės auditoriams ir Lietuvos bankui ne vėliau kaip iki atitinkamų metų (2026 m., 2027 m. ir 2028 m.) sausio 31 d. Auditorius turi pateikti tokią informaciją anglų kalba:</w:t>
      </w:r>
    </w:p>
    <w:p w14:paraId="1C9AD641" w14:textId="77777777" w:rsidR="00E26915" w:rsidRPr="00E26915" w:rsidRDefault="00E26915" w:rsidP="00E26915">
      <w:pPr>
        <w:numPr>
          <w:ilvl w:val="1"/>
          <w:numId w:val="17"/>
        </w:numPr>
        <w:tabs>
          <w:tab w:val="left" w:pos="0"/>
          <w:tab w:val="left" w:pos="1418"/>
          <w:tab w:val="left" w:pos="1985"/>
        </w:tabs>
        <w:spacing w:after="0" w:line="240" w:lineRule="auto"/>
        <w:ind w:left="0" w:firstLine="567"/>
        <w:jc w:val="both"/>
        <w:outlineLvl w:val="1"/>
        <w:rPr>
          <w:rFonts w:ascii="Verdana" w:hAnsi="Verdana"/>
          <w:sz w:val="20"/>
          <w:szCs w:val="20"/>
        </w:rPr>
      </w:pPr>
      <w:r w:rsidRPr="00E26915">
        <w:rPr>
          <w:rFonts w:ascii="Verdana" w:hAnsi="Verdana"/>
          <w:sz w:val="20"/>
          <w:szCs w:val="20"/>
        </w:rPr>
        <w:t xml:space="preserve">Audito radiniai vertinant Lietuvos banko veiklos atitiktį vidaus kontrolės ir procedūrų reikalavimams, nustatytiems ECB gairių dėl ECB ir euro zonos nacionalinių bankų bendradarbiavimo dėl užsienio atsargų portfelio valdymo (ECB </w:t>
      </w:r>
      <w:proofErr w:type="spellStart"/>
      <w:r w:rsidRPr="00E26915">
        <w:rPr>
          <w:rFonts w:ascii="Verdana" w:hAnsi="Verdana"/>
          <w:sz w:val="20"/>
          <w:szCs w:val="20"/>
        </w:rPr>
        <w:t>Guideline</w:t>
      </w:r>
      <w:proofErr w:type="spellEnd"/>
      <w:r w:rsidRPr="00E26915">
        <w:rPr>
          <w:rFonts w:ascii="Verdana" w:hAnsi="Verdana"/>
          <w:sz w:val="20"/>
          <w:szCs w:val="20"/>
        </w:rPr>
        <w:t xml:space="preserve"> </w:t>
      </w:r>
      <w:proofErr w:type="spellStart"/>
      <w:r w:rsidRPr="00E26915">
        <w:rPr>
          <w:rFonts w:ascii="Verdana" w:hAnsi="Verdana"/>
          <w:sz w:val="20"/>
          <w:szCs w:val="20"/>
        </w:rPr>
        <w:t>on</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w:t>
      </w:r>
      <w:proofErr w:type="spellStart"/>
      <w:r w:rsidRPr="00E26915">
        <w:rPr>
          <w:rFonts w:ascii="Verdana" w:hAnsi="Verdana"/>
          <w:sz w:val="20"/>
          <w:szCs w:val="20"/>
        </w:rPr>
        <w:t>management</w:t>
      </w:r>
      <w:proofErr w:type="spellEnd"/>
      <w:r w:rsidRPr="00E26915">
        <w:rPr>
          <w:rFonts w:ascii="Verdana" w:hAnsi="Verdana"/>
          <w:sz w:val="20"/>
          <w:szCs w:val="20"/>
        </w:rPr>
        <w:t xml:space="preserve"> </w:t>
      </w:r>
      <w:proofErr w:type="spellStart"/>
      <w:r w:rsidRPr="00E26915">
        <w:rPr>
          <w:rFonts w:ascii="Verdana" w:hAnsi="Verdana"/>
          <w:sz w:val="20"/>
          <w:szCs w:val="20"/>
        </w:rPr>
        <w:t>relationship</w:t>
      </w:r>
      <w:proofErr w:type="spellEnd"/>
      <w:r w:rsidRPr="00E26915">
        <w:rPr>
          <w:rFonts w:ascii="Verdana" w:hAnsi="Verdana"/>
          <w:sz w:val="20"/>
          <w:szCs w:val="20"/>
        </w:rPr>
        <w:t xml:space="preserve"> </w:t>
      </w:r>
      <w:proofErr w:type="spellStart"/>
      <w:r w:rsidRPr="00E26915">
        <w:rPr>
          <w:rFonts w:ascii="Verdana" w:hAnsi="Verdana"/>
          <w:sz w:val="20"/>
          <w:szCs w:val="20"/>
        </w:rPr>
        <w:t>between</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ECB </w:t>
      </w:r>
      <w:proofErr w:type="spellStart"/>
      <w:r w:rsidRPr="00E26915">
        <w:rPr>
          <w:rFonts w:ascii="Verdana" w:hAnsi="Verdana"/>
          <w:sz w:val="20"/>
          <w:szCs w:val="20"/>
        </w:rPr>
        <w:t>and</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euro </w:t>
      </w:r>
      <w:proofErr w:type="spellStart"/>
      <w:r w:rsidRPr="00E26915">
        <w:rPr>
          <w:rFonts w:ascii="Verdana" w:hAnsi="Verdana"/>
          <w:sz w:val="20"/>
          <w:szCs w:val="20"/>
        </w:rPr>
        <w:t>area</w:t>
      </w:r>
      <w:proofErr w:type="spellEnd"/>
      <w:r w:rsidRPr="00E26915">
        <w:rPr>
          <w:rFonts w:ascii="Verdana" w:hAnsi="Verdana"/>
          <w:sz w:val="20"/>
          <w:szCs w:val="20"/>
        </w:rPr>
        <w:t xml:space="preserve"> </w:t>
      </w:r>
      <w:proofErr w:type="spellStart"/>
      <w:r w:rsidRPr="00E26915">
        <w:rPr>
          <w:rFonts w:ascii="Verdana" w:hAnsi="Verdana"/>
          <w:sz w:val="20"/>
          <w:szCs w:val="20"/>
        </w:rPr>
        <w:t>national</w:t>
      </w:r>
      <w:proofErr w:type="spellEnd"/>
      <w:r w:rsidRPr="00E26915">
        <w:rPr>
          <w:rFonts w:ascii="Verdana" w:hAnsi="Verdana"/>
          <w:sz w:val="20"/>
          <w:szCs w:val="20"/>
        </w:rPr>
        <w:t xml:space="preserve"> </w:t>
      </w:r>
      <w:proofErr w:type="spellStart"/>
      <w:r w:rsidRPr="00E26915">
        <w:rPr>
          <w:rFonts w:ascii="Verdana" w:hAnsi="Verdana"/>
          <w:sz w:val="20"/>
          <w:szCs w:val="20"/>
        </w:rPr>
        <w:t>central</w:t>
      </w:r>
      <w:proofErr w:type="spellEnd"/>
      <w:r w:rsidRPr="00E26915">
        <w:rPr>
          <w:rFonts w:ascii="Verdana" w:hAnsi="Verdana"/>
          <w:sz w:val="20"/>
          <w:szCs w:val="20"/>
        </w:rPr>
        <w:t xml:space="preserve"> </w:t>
      </w:r>
      <w:proofErr w:type="spellStart"/>
      <w:r w:rsidRPr="00E26915">
        <w:rPr>
          <w:rFonts w:ascii="Verdana" w:hAnsi="Verdana"/>
          <w:sz w:val="20"/>
          <w:szCs w:val="20"/>
        </w:rPr>
        <w:t>banks</w:t>
      </w:r>
      <w:proofErr w:type="spellEnd"/>
      <w:r w:rsidRPr="00E26915">
        <w:rPr>
          <w:rFonts w:ascii="Verdana" w:hAnsi="Verdana"/>
          <w:sz w:val="20"/>
          <w:szCs w:val="20"/>
        </w:rPr>
        <w:t xml:space="preserve"> </w:t>
      </w:r>
      <w:proofErr w:type="spellStart"/>
      <w:r w:rsidRPr="00E26915">
        <w:rPr>
          <w:rFonts w:ascii="Verdana" w:hAnsi="Verdana"/>
          <w:sz w:val="20"/>
          <w:szCs w:val="20"/>
        </w:rPr>
        <w:t>for</w:t>
      </w:r>
      <w:proofErr w:type="spellEnd"/>
      <w:r w:rsidRPr="00E26915">
        <w:rPr>
          <w:rFonts w:ascii="Verdana" w:hAnsi="Verdana"/>
          <w:sz w:val="20"/>
          <w:szCs w:val="20"/>
        </w:rPr>
        <w:t xml:space="preserve"> </w:t>
      </w:r>
      <w:proofErr w:type="spellStart"/>
      <w:r w:rsidRPr="00E26915">
        <w:rPr>
          <w:rFonts w:ascii="Verdana" w:hAnsi="Verdana"/>
          <w:sz w:val="20"/>
          <w:szCs w:val="20"/>
        </w:rPr>
        <w:t>operations</w:t>
      </w:r>
      <w:proofErr w:type="spellEnd"/>
      <w:r w:rsidRPr="00E26915">
        <w:rPr>
          <w:rFonts w:ascii="Verdana" w:hAnsi="Verdana"/>
          <w:sz w:val="20"/>
          <w:szCs w:val="20"/>
        </w:rPr>
        <w:t xml:space="preserve"> </w:t>
      </w:r>
      <w:proofErr w:type="spellStart"/>
      <w:r w:rsidRPr="00E26915">
        <w:rPr>
          <w:rFonts w:ascii="Verdana" w:hAnsi="Verdana"/>
          <w:sz w:val="20"/>
          <w:szCs w:val="20"/>
        </w:rPr>
        <w:t>involving</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w:t>
      </w:r>
      <w:proofErr w:type="spellStart"/>
      <w:r w:rsidRPr="00E26915">
        <w:rPr>
          <w:rFonts w:ascii="Verdana" w:hAnsi="Verdana"/>
          <w:sz w:val="20"/>
          <w:szCs w:val="20"/>
        </w:rPr>
        <w:t>foreign</w:t>
      </w:r>
      <w:proofErr w:type="spellEnd"/>
      <w:r w:rsidRPr="00E26915">
        <w:rPr>
          <w:rFonts w:ascii="Verdana" w:hAnsi="Verdana"/>
          <w:sz w:val="20"/>
          <w:szCs w:val="20"/>
        </w:rPr>
        <w:t xml:space="preserve"> </w:t>
      </w:r>
      <w:proofErr w:type="spellStart"/>
      <w:r w:rsidRPr="00E26915">
        <w:rPr>
          <w:rFonts w:ascii="Verdana" w:hAnsi="Verdana"/>
          <w:sz w:val="20"/>
          <w:szCs w:val="20"/>
        </w:rPr>
        <w:t>reserve</w:t>
      </w:r>
      <w:proofErr w:type="spellEnd"/>
      <w:r w:rsidRPr="00E26915">
        <w:rPr>
          <w:rFonts w:ascii="Verdana" w:hAnsi="Verdana"/>
          <w:sz w:val="20"/>
          <w:szCs w:val="20"/>
        </w:rPr>
        <w:t xml:space="preserve"> </w:t>
      </w:r>
      <w:proofErr w:type="spellStart"/>
      <w:r w:rsidRPr="00E26915">
        <w:rPr>
          <w:rFonts w:ascii="Verdana" w:hAnsi="Verdana"/>
          <w:sz w:val="20"/>
          <w:szCs w:val="20"/>
        </w:rPr>
        <w:t>assets</w:t>
      </w:r>
      <w:proofErr w:type="spellEnd"/>
      <w:r w:rsidRPr="00E26915">
        <w:rPr>
          <w:rFonts w:ascii="Verdana" w:hAnsi="Verdana"/>
          <w:sz w:val="20"/>
          <w:szCs w:val="20"/>
        </w:rPr>
        <w:t xml:space="preserve"> </w:t>
      </w:r>
      <w:proofErr w:type="spellStart"/>
      <w:r w:rsidRPr="00E26915">
        <w:rPr>
          <w:rFonts w:ascii="Verdana" w:hAnsi="Verdana"/>
          <w:sz w:val="20"/>
          <w:szCs w:val="20"/>
        </w:rPr>
        <w:t>of</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ECB) Nr. </w:t>
      </w:r>
      <w:r w:rsidRPr="00E26915">
        <w:rPr>
          <w:rFonts w:ascii="Verdana" w:hAnsi="Verdana"/>
          <w:bCs/>
          <w:sz w:val="20"/>
          <w:szCs w:val="20"/>
        </w:rPr>
        <w:t>ECB/2010/NP9 su vėlesniais pakeitimais</w:t>
      </w:r>
      <w:r w:rsidRPr="00E26915">
        <w:rPr>
          <w:rFonts w:ascii="Verdana" w:hAnsi="Verdana"/>
          <w:sz w:val="20"/>
          <w:szCs w:val="20"/>
        </w:rPr>
        <w:t xml:space="preserve"> II priedo I ir II skyriuose;</w:t>
      </w:r>
    </w:p>
    <w:p w14:paraId="7B1A39E0" w14:textId="77777777" w:rsidR="00E26915" w:rsidRPr="00E26915" w:rsidRDefault="00E26915" w:rsidP="00E26915">
      <w:pPr>
        <w:numPr>
          <w:ilvl w:val="1"/>
          <w:numId w:val="17"/>
        </w:numPr>
        <w:tabs>
          <w:tab w:val="left" w:pos="0"/>
          <w:tab w:val="left" w:pos="1418"/>
          <w:tab w:val="left" w:pos="1985"/>
        </w:tabs>
        <w:spacing w:after="0" w:line="240" w:lineRule="auto"/>
        <w:ind w:left="0" w:firstLine="567"/>
        <w:jc w:val="both"/>
        <w:outlineLvl w:val="1"/>
        <w:rPr>
          <w:rFonts w:ascii="Verdana" w:hAnsi="Verdana"/>
          <w:sz w:val="20"/>
          <w:szCs w:val="20"/>
        </w:rPr>
      </w:pPr>
      <w:r w:rsidRPr="00E26915">
        <w:rPr>
          <w:rFonts w:ascii="Verdana" w:hAnsi="Verdana"/>
          <w:sz w:val="20"/>
          <w:szCs w:val="20"/>
        </w:rPr>
        <w:t>ECB vardu Lietuvos banko valdomų ECB užsienio atsargų balanso gruodžio 31 d. būklei patvirtinimas;</w:t>
      </w:r>
    </w:p>
    <w:p w14:paraId="382B4468" w14:textId="77777777" w:rsidR="00E26915" w:rsidRPr="00E26915" w:rsidRDefault="00E26915" w:rsidP="00E26915">
      <w:pPr>
        <w:numPr>
          <w:ilvl w:val="1"/>
          <w:numId w:val="17"/>
        </w:numPr>
        <w:tabs>
          <w:tab w:val="left" w:pos="0"/>
          <w:tab w:val="left" w:pos="1418"/>
          <w:tab w:val="left" w:pos="1985"/>
        </w:tabs>
        <w:spacing w:after="0" w:line="240" w:lineRule="auto"/>
        <w:ind w:left="0" w:firstLine="567"/>
        <w:jc w:val="both"/>
        <w:outlineLvl w:val="1"/>
        <w:rPr>
          <w:rFonts w:ascii="Verdana" w:hAnsi="Verdana"/>
          <w:sz w:val="20"/>
          <w:szCs w:val="20"/>
        </w:rPr>
      </w:pPr>
      <w:r w:rsidRPr="00E26915">
        <w:rPr>
          <w:rFonts w:ascii="Verdana" w:hAnsi="Verdana"/>
          <w:sz w:val="20"/>
          <w:szCs w:val="20"/>
        </w:rPr>
        <w:t xml:space="preserve">Netikslinto metų pabaigoje apyvartoje esančių euro banknotų kiekio, kuris apskaičiuojamas pagal vieną iš dviejų metodų, nustatytų ECB gairėse (ES) 2016/2249 dėl Europos centrinių bankų sistemos apskaitos ir finansinės atskaitomybės teisinio pagrindo (ECB </w:t>
      </w:r>
      <w:proofErr w:type="spellStart"/>
      <w:r w:rsidRPr="00E26915">
        <w:rPr>
          <w:rFonts w:ascii="Verdana" w:hAnsi="Verdana"/>
          <w:sz w:val="20"/>
          <w:szCs w:val="20"/>
        </w:rPr>
        <w:t>Guideline</w:t>
      </w:r>
      <w:proofErr w:type="spellEnd"/>
      <w:r w:rsidRPr="00E26915">
        <w:rPr>
          <w:rFonts w:ascii="Verdana" w:hAnsi="Verdana"/>
          <w:sz w:val="20"/>
          <w:szCs w:val="20"/>
        </w:rPr>
        <w:t xml:space="preserve"> </w:t>
      </w:r>
      <w:proofErr w:type="spellStart"/>
      <w:r w:rsidRPr="00E26915">
        <w:rPr>
          <w:rFonts w:ascii="Verdana" w:hAnsi="Verdana"/>
          <w:sz w:val="20"/>
          <w:szCs w:val="20"/>
        </w:rPr>
        <w:t>on</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w:t>
      </w:r>
      <w:proofErr w:type="spellStart"/>
      <w:r w:rsidRPr="00E26915">
        <w:rPr>
          <w:rFonts w:ascii="Verdana" w:hAnsi="Verdana"/>
          <w:sz w:val="20"/>
          <w:szCs w:val="20"/>
        </w:rPr>
        <w:t>legal</w:t>
      </w:r>
      <w:proofErr w:type="spellEnd"/>
      <w:r w:rsidRPr="00E26915">
        <w:rPr>
          <w:rFonts w:ascii="Verdana" w:hAnsi="Verdana"/>
          <w:sz w:val="20"/>
          <w:szCs w:val="20"/>
        </w:rPr>
        <w:t xml:space="preserve"> </w:t>
      </w:r>
      <w:proofErr w:type="spellStart"/>
      <w:r w:rsidRPr="00E26915">
        <w:rPr>
          <w:rFonts w:ascii="Verdana" w:hAnsi="Verdana"/>
          <w:sz w:val="20"/>
          <w:szCs w:val="20"/>
        </w:rPr>
        <w:t>framework</w:t>
      </w:r>
      <w:proofErr w:type="spellEnd"/>
      <w:r w:rsidRPr="00E26915">
        <w:rPr>
          <w:rFonts w:ascii="Verdana" w:hAnsi="Verdana"/>
          <w:sz w:val="20"/>
          <w:szCs w:val="20"/>
        </w:rPr>
        <w:t xml:space="preserve"> </w:t>
      </w:r>
      <w:proofErr w:type="spellStart"/>
      <w:r w:rsidRPr="00E26915">
        <w:rPr>
          <w:rFonts w:ascii="Verdana" w:hAnsi="Verdana"/>
          <w:sz w:val="20"/>
          <w:szCs w:val="20"/>
        </w:rPr>
        <w:t>for</w:t>
      </w:r>
      <w:proofErr w:type="spellEnd"/>
      <w:r w:rsidRPr="00E26915">
        <w:rPr>
          <w:rFonts w:ascii="Verdana" w:hAnsi="Verdana"/>
          <w:sz w:val="20"/>
          <w:szCs w:val="20"/>
        </w:rPr>
        <w:t xml:space="preserve"> </w:t>
      </w:r>
      <w:proofErr w:type="spellStart"/>
      <w:r w:rsidRPr="00E26915">
        <w:rPr>
          <w:rFonts w:ascii="Verdana" w:hAnsi="Verdana"/>
          <w:sz w:val="20"/>
          <w:szCs w:val="20"/>
        </w:rPr>
        <w:t>accounting</w:t>
      </w:r>
      <w:proofErr w:type="spellEnd"/>
      <w:r w:rsidRPr="00E26915">
        <w:rPr>
          <w:rFonts w:ascii="Verdana" w:hAnsi="Verdana"/>
          <w:sz w:val="20"/>
          <w:szCs w:val="20"/>
        </w:rPr>
        <w:t xml:space="preserve"> </w:t>
      </w:r>
      <w:proofErr w:type="spellStart"/>
      <w:r w:rsidRPr="00E26915">
        <w:rPr>
          <w:rFonts w:ascii="Verdana" w:hAnsi="Verdana"/>
          <w:sz w:val="20"/>
          <w:szCs w:val="20"/>
        </w:rPr>
        <w:t>and</w:t>
      </w:r>
      <w:proofErr w:type="spellEnd"/>
      <w:r w:rsidRPr="00E26915">
        <w:rPr>
          <w:rFonts w:ascii="Verdana" w:hAnsi="Verdana"/>
          <w:sz w:val="20"/>
          <w:szCs w:val="20"/>
        </w:rPr>
        <w:t xml:space="preserve"> </w:t>
      </w:r>
      <w:proofErr w:type="spellStart"/>
      <w:r w:rsidRPr="00E26915">
        <w:rPr>
          <w:rFonts w:ascii="Verdana" w:hAnsi="Verdana"/>
          <w:sz w:val="20"/>
          <w:szCs w:val="20"/>
        </w:rPr>
        <w:t>financial</w:t>
      </w:r>
      <w:proofErr w:type="spellEnd"/>
      <w:r w:rsidRPr="00E26915">
        <w:rPr>
          <w:rFonts w:ascii="Verdana" w:hAnsi="Verdana"/>
          <w:sz w:val="20"/>
          <w:szCs w:val="20"/>
        </w:rPr>
        <w:t xml:space="preserve"> </w:t>
      </w:r>
      <w:proofErr w:type="spellStart"/>
      <w:r w:rsidRPr="00E26915">
        <w:rPr>
          <w:rFonts w:ascii="Verdana" w:hAnsi="Verdana"/>
          <w:sz w:val="20"/>
          <w:szCs w:val="20"/>
        </w:rPr>
        <w:t>reporting</w:t>
      </w:r>
      <w:proofErr w:type="spellEnd"/>
      <w:r w:rsidRPr="00E26915">
        <w:rPr>
          <w:rFonts w:ascii="Verdana" w:hAnsi="Verdana"/>
          <w:sz w:val="20"/>
          <w:szCs w:val="20"/>
        </w:rPr>
        <w:t xml:space="preserve"> </w:t>
      </w:r>
      <w:proofErr w:type="spellStart"/>
      <w:r w:rsidRPr="00E26915">
        <w:rPr>
          <w:rFonts w:ascii="Verdana" w:hAnsi="Verdana"/>
          <w:sz w:val="20"/>
          <w:szCs w:val="20"/>
        </w:rPr>
        <w:t>in</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ESCB) Nr. </w:t>
      </w:r>
      <w:r w:rsidRPr="00E26915">
        <w:rPr>
          <w:rFonts w:ascii="Verdana" w:hAnsi="Verdana"/>
          <w:bCs/>
          <w:iCs/>
          <w:sz w:val="20"/>
          <w:szCs w:val="20"/>
        </w:rPr>
        <w:t>ECB/2016/34</w:t>
      </w:r>
      <w:r w:rsidRPr="00E26915">
        <w:rPr>
          <w:rFonts w:ascii="Verdana" w:hAnsi="Verdana"/>
          <w:sz w:val="20"/>
          <w:szCs w:val="20"/>
        </w:rPr>
        <w:t xml:space="preserve"> patvirtinimas;</w:t>
      </w:r>
    </w:p>
    <w:p w14:paraId="6EEC1156" w14:textId="77777777" w:rsidR="00E26915" w:rsidRPr="00E26915" w:rsidRDefault="00E26915" w:rsidP="00E26915">
      <w:pPr>
        <w:numPr>
          <w:ilvl w:val="1"/>
          <w:numId w:val="17"/>
        </w:numPr>
        <w:tabs>
          <w:tab w:val="left" w:pos="0"/>
          <w:tab w:val="left" w:pos="1418"/>
          <w:tab w:val="left" w:pos="1985"/>
        </w:tabs>
        <w:spacing w:after="0" w:line="240" w:lineRule="auto"/>
        <w:ind w:left="0" w:firstLine="567"/>
        <w:jc w:val="both"/>
        <w:outlineLvl w:val="1"/>
        <w:rPr>
          <w:rFonts w:ascii="Verdana" w:hAnsi="Verdana"/>
          <w:sz w:val="20"/>
          <w:szCs w:val="20"/>
        </w:rPr>
      </w:pPr>
      <w:r w:rsidRPr="00E26915">
        <w:rPr>
          <w:rFonts w:ascii="Verdana" w:hAnsi="Verdana"/>
          <w:sz w:val="20"/>
          <w:szCs w:val="20"/>
        </w:rPr>
        <w:t>Atitinkamų metų (2025 m., 2026 m. ir 2027 m.) gruodžio 31 d. TARGET 2 likučio patvirtinimą.</w:t>
      </w:r>
    </w:p>
    <w:p w14:paraId="7161FBFD" w14:textId="77777777" w:rsidR="00E26915" w:rsidRPr="00E26915" w:rsidRDefault="00E26915" w:rsidP="00E26915">
      <w:pPr>
        <w:numPr>
          <w:ilvl w:val="0"/>
          <w:numId w:val="17"/>
        </w:numPr>
        <w:tabs>
          <w:tab w:val="left" w:pos="851"/>
          <w:tab w:val="left" w:pos="993"/>
        </w:tabs>
        <w:spacing w:after="0" w:line="240" w:lineRule="auto"/>
        <w:ind w:left="0" w:firstLine="567"/>
        <w:jc w:val="both"/>
        <w:outlineLvl w:val="1"/>
        <w:rPr>
          <w:rFonts w:ascii="Verdana" w:hAnsi="Verdana"/>
          <w:sz w:val="20"/>
          <w:szCs w:val="20"/>
        </w:rPr>
      </w:pPr>
      <w:r w:rsidRPr="00E26915">
        <w:rPr>
          <w:rFonts w:ascii="Verdana" w:hAnsi="Verdana"/>
          <w:sz w:val="20"/>
          <w:szCs w:val="20"/>
        </w:rPr>
        <w:t>Auditorius neteiks 14.1 ir 14.2 punktuose nurodytos informacijos, jeigu Lietuvos bankas ECB vardu ECB užsienio atsargų portfelį valdys bendrai su kitu Eurosistemos centriniu banku (</w:t>
      </w:r>
      <w:proofErr w:type="spellStart"/>
      <w:r w:rsidRPr="00E26915">
        <w:rPr>
          <w:rFonts w:ascii="Verdana" w:hAnsi="Verdana"/>
          <w:sz w:val="20"/>
          <w:szCs w:val="20"/>
        </w:rPr>
        <w:t>Pooled</w:t>
      </w:r>
      <w:proofErr w:type="spellEnd"/>
      <w:r w:rsidRPr="00E26915">
        <w:rPr>
          <w:rFonts w:ascii="Verdana" w:hAnsi="Verdana"/>
          <w:sz w:val="20"/>
          <w:szCs w:val="20"/>
        </w:rPr>
        <w:t xml:space="preserve"> </w:t>
      </w:r>
      <w:proofErr w:type="spellStart"/>
      <w:r w:rsidRPr="00E26915">
        <w:rPr>
          <w:rFonts w:ascii="Verdana" w:hAnsi="Verdana"/>
          <w:sz w:val="20"/>
          <w:szCs w:val="20"/>
        </w:rPr>
        <w:t>Management</w:t>
      </w:r>
      <w:proofErr w:type="spellEnd"/>
      <w:r w:rsidRPr="00E26915">
        <w:rPr>
          <w:rFonts w:ascii="Verdana" w:hAnsi="Verdana"/>
          <w:sz w:val="20"/>
          <w:szCs w:val="20"/>
        </w:rPr>
        <w:t xml:space="preserve"> </w:t>
      </w:r>
      <w:proofErr w:type="spellStart"/>
      <w:r w:rsidRPr="00E26915">
        <w:rPr>
          <w:rFonts w:ascii="Verdana" w:hAnsi="Verdana"/>
          <w:sz w:val="20"/>
          <w:szCs w:val="20"/>
        </w:rPr>
        <w:t>of</w:t>
      </w:r>
      <w:proofErr w:type="spellEnd"/>
      <w:r w:rsidRPr="00E26915">
        <w:rPr>
          <w:rFonts w:ascii="Verdana" w:hAnsi="Verdana"/>
          <w:sz w:val="20"/>
          <w:szCs w:val="20"/>
        </w:rPr>
        <w:t xml:space="preserve"> </w:t>
      </w:r>
      <w:proofErr w:type="spellStart"/>
      <w:r w:rsidRPr="00E26915">
        <w:rPr>
          <w:rFonts w:ascii="Verdana" w:hAnsi="Verdana"/>
          <w:sz w:val="20"/>
          <w:szCs w:val="20"/>
        </w:rPr>
        <w:t>the</w:t>
      </w:r>
      <w:proofErr w:type="spellEnd"/>
      <w:r w:rsidRPr="00E26915">
        <w:rPr>
          <w:rFonts w:ascii="Verdana" w:hAnsi="Verdana"/>
          <w:sz w:val="20"/>
          <w:szCs w:val="20"/>
        </w:rPr>
        <w:t xml:space="preserve"> ECB </w:t>
      </w:r>
      <w:proofErr w:type="spellStart"/>
      <w:r w:rsidRPr="00E26915">
        <w:rPr>
          <w:rFonts w:ascii="Verdana" w:hAnsi="Verdana"/>
          <w:sz w:val="20"/>
          <w:szCs w:val="20"/>
        </w:rPr>
        <w:t>Foreign</w:t>
      </w:r>
      <w:proofErr w:type="spellEnd"/>
      <w:r w:rsidRPr="00E26915">
        <w:rPr>
          <w:rFonts w:ascii="Verdana" w:hAnsi="Verdana"/>
          <w:sz w:val="20"/>
          <w:szCs w:val="20"/>
        </w:rPr>
        <w:t xml:space="preserve"> </w:t>
      </w:r>
      <w:proofErr w:type="spellStart"/>
      <w:r w:rsidRPr="00E26915">
        <w:rPr>
          <w:rFonts w:ascii="Verdana" w:hAnsi="Verdana"/>
          <w:sz w:val="20"/>
          <w:szCs w:val="20"/>
        </w:rPr>
        <w:t>Reserve</w:t>
      </w:r>
      <w:proofErr w:type="spellEnd"/>
      <w:r w:rsidRPr="00E26915">
        <w:rPr>
          <w:rFonts w:ascii="Verdana" w:hAnsi="Verdana"/>
          <w:sz w:val="20"/>
          <w:szCs w:val="20"/>
        </w:rPr>
        <w:t xml:space="preserve"> </w:t>
      </w:r>
      <w:proofErr w:type="spellStart"/>
      <w:r w:rsidRPr="00E26915">
        <w:rPr>
          <w:rFonts w:ascii="Verdana" w:hAnsi="Verdana"/>
          <w:sz w:val="20"/>
          <w:szCs w:val="20"/>
        </w:rPr>
        <w:t>Assets</w:t>
      </w:r>
      <w:proofErr w:type="spellEnd"/>
      <w:r w:rsidRPr="00E26915">
        <w:rPr>
          <w:rFonts w:ascii="Verdana" w:hAnsi="Verdana"/>
          <w:sz w:val="20"/>
          <w:szCs w:val="20"/>
        </w:rPr>
        <w:t xml:space="preserve">) ir visus sandorius ECB vardu sudarys bei jų </w:t>
      </w:r>
      <w:r w:rsidRPr="00E26915">
        <w:rPr>
          <w:rFonts w:ascii="Verdana" w:hAnsi="Verdana"/>
          <w:sz w:val="20"/>
          <w:szCs w:val="20"/>
        </w:rPr>
        <w:lastRenderedPageBreak/>
        <w:t>atsiskaitymus užtikrins bendradarbiavimo partneris (</w:t>
      </w:r>
      <w:proofErr w:type="spellStart"/>
      <w:r w:rsidRPr="00E26915">
        <w:rPr>
          <w:rFonts w:ascii="Verdana" w:hAnsi="Verdana"/>
          <w:sz w:val="20"/>
          <w:szCs w:val="20"/>
        </w:rPr>
        <w:t>pooling</w:t>
      </w:r>
      <w:proofErr w:type="spellEnd"/>
      <w:r w:rsidRPr="00E26915">
        <w:rPr>
          <w:rFonts w:ascii="Verdana" w:hAnsi="Verdana"/>
          <w:sz w:val="20"/>
          <w:szCs w:val="20"/>
        </w:rPr>
        <w:t xml:space="preserve"> </w:t>
      </w:r>
      <w:proofErr w:type="spellStart"/>
      <w:r w:rsidRPr="00E26915">
        <w:rPr>
          <w:rFonts w:ascii="Verdana" w:hAnsi="Verdana"/>
          <w:sz w:val="20"/>
          <w:szCs w:val="20"/>
        </w:rPr>
        <w:t>partner</w:t>
      </w:r>
      <w:proofErr w:type="spellEnd"/>
      <w:r w:rsidRPr="00E26915">
        <w:rPr>
          <w:rFonts w:ascii="Verdana" w:hAnsi="Verdana"/>
          <w:sz w:val="20"/>
          <w:szCs w:val="20"/>
        </w:rPr>
        <w:t>). Šiuo metu ECB užsienio atsargų portfelis ECB vardu valdomas bendrai su kitu Eurosistemos centriniu banku.</w:t>
      </w:r>
    </w:p>
    <w:p w14:paraId="570CFA8A" w14:textId="77777777" w:rsidR="00E26915" w:rsidRPr="00C97BEC" w:rsidRDefault="00E26915" w:rsidP="00E26915">
      <w:pPr>
        <w:numPr>
          <w:ilvl w:val="0"/>
          <w:numId w:val="17"/>
        </w:numPr>
        <w:tabs>
          <w:tab w:val="left" w:pos="851"/>
          <w:tab w:val="left" w:pos="993"/>
        </w:tabs>
        <w:spacing w:after="0" w:line="240" w:lineRule="auto"/>
        <w:ind w:left="0" w:firstLine="567"/>
        <w:jc w:val="both"/>
        <w:outlineLvl w:val="1"/>
        <w:rPr>
          <w:rFonts w:ascii="Verdana" w:hAnsi="Verdana"/>
          <w:sz w:val="20"/>
          <w:szCs w:val="20"/>
        </w:rPr>
      </w:pPr>
      <w:r w:rsidRPr="00C97BEC">
        <w:rPr>
          <w:rFonts w:ascii="Verdana" w:hAnsi="Verdana"/>
          <w:sz w:val="20"/>
          <w:szCs w:val="20"/>
        </w:rPr>
        <w:t>Auditoriaus nepriklausomumo sąlyga. Auditorius, turintis teisę atlikti finansinių ataskaitų auditą ir pasirašysiantis auditoriaus išvadą, negali būti ilgiau kaip 4 finansinius metus iš eilės auditavęs Lietuvos banko metinių finansinių ataskaitų rinkinius (jeigu auditavo). Jeigu auditavo ilgiau kaip 4 finansinius metus iš eilės, nuo jo dalyvavimo audituojant Lietuvos banko metinių finansinių ataskaitų rinkinius turi būti praėję ne mažiau kaip 3 metai.</w:t>
      </w:r>
    </w:p>
    <w:p w14:paraId="27F4740C" w14:textId="77777777" w:rsidR="00E26915" w:rsidRPr="00E26915" w:rsidRDefault="00E26915" w:rsidP="00E26915">
      <w:pPr>
        <w:numPr>
          <w:ilvl w:val="0"/>
          <w:numId w:val="17"/>
        </w:numPr>
        <w:tabs>
          <w:tab w:val="left" w:pos="851"/>
          <w:tab w:val="left" w:pos="993"/>
          <w:tab w:val="left" w:pos="1701"/>
        </w:tabs>
        <w:spacing w:after="0" w:line="240" w:lineRule="auto"/>
        <w:ind w:left="0" w:firstLine="567"/>
        <w:jc w:val="both"/>
        <w:outlineLvl w:val="1"/>
        <w:rPr>
          <w:rFonts w:ascii="Verdana" w:hAnsi="Verdana"/>
          <w:sz w:val="20"/>
          <w:szCs w:val="20"/>
        </w:rPr>
      </w:pPr>
      <w:r w:rsidRPr="00E26915">
        <w:rPr>
          <w:rFonts w:ascii="Verdana" w:hAnsi="Verdana"/>
          <w:sz w:val="20"/>
          <w:szCs w:val="20"/>
        </w:rPr>
        <w:t>Reikalavimai susiję su informacijos ir kibernetinio saugumo užtikrinimu</w:t>
      </w:r>
      <w:r w:rsidRPr="00E26915">
        <w:rPr>
          <w:rFonts w:ascii="Verdana" w:hAnsi="Verdana"/>
          <w:sz w:val="20"/>
          <w:szCs w:val="20"/>
          <w:lang w:val="it-IT"/>
        </w:rPr>
        <w:t>:</w:t>
      </w:r>
    </w:p>
    <w:p w14:paraId="6814CA1F" w14:textId="77777777" w:rsidR="00E26915" w:rsidRPr="00E26915" w:rsidRDefault="00E26915" w:rsidP="00E26915">
      <w:pPr>
        <w:numPr>
          <w:ilvl w:val="1"/>
          <w:numId w:val="17"/>
        </w:numPr>
        <w:tabs>
          <w:tab w:val="left" w:pos="426"/>
          <w:tab w:val="left" w:pos="993"/>
          <w:tab w:val="left" w:pos="1418"/>
        </w:tabs>
        <w:spacing w:after="0" w:line="240" w:lineRule="auto"/>
        <w:ind w:left="0" w:firstLine="567"/>
        <w:jc w:val="both"/>
        <w:outlineLvl w:val="1"/>
        <w:rPr>
          <w:rFonts w:ascii="Verdana" w:hAnsi="Verdana"/>
          <w:sz w:val="20"/>
          <w:szCs w:val="20"/>
        </w:rPr>
      </w:pPr>
      <w:r w:rsidRPr="00E26915">
        <w:rPr>
          <w:rFonts w:ascii="Verdana" w:hAnsi="Verdana"/>
          <w:sz w:val="20"/>
          <w:szCs w:val="20"/>
        </w:rPr>
        <w:t xml:space="preserve">Teikdamas paslaugas paslaugų teikėjas privalo užtikrinti atitiktį Organizacinių ir techninių kibernetinio saugumo reikalavimams tokia apimtimi, kiek tai susiję su pirkimo objektu, ir laikytis konkrečių Lietuvos banko nustatytų informacijos saugumo, kibernetinio saugumo reikalavimų, nustatytų šioje techninėje specifikacijoje; </w:t>
      </w:r>
    </w:p>
    <w:p w14:paraId="009AF855" w14:textId="77777777" w:rsidR="00E26915" w:rsidRPr="00E26915" w:rsidRDefault="00E26915" w:rsidP="00E26915">
      <w:pPr>
        <w:numPr>
          <w:ilvl w:val="1"/>
          <w:numId w:val="17"/>
        </w:numPr>
        <w:tabs>
          <w:tab w:val="left" w:pos="426"/>
          <w:tab w:val="left" w:pos="993"/>
          <w:tab w:val="left" w:pos="1418"/>
        </w:tabs>
        <w:spacing w:after="0" w:line="240" w:lineRule="auto"/>
        <w:ind w:left="0" w:firstLine="567"/>
        <w:jc w:val="both"/>
        <w:outlineLvl w:val="1"/>
        <w:rPr>
          <w:rFonts w:ascii="Verdana" w:hAnsi="Verdana"/>
          <w:sz w:val="20"/>
          <w:szCs w:val="20"/>
        </w:rPr>
      </w:pPr>
      <w:r w:rsidRPr="00E26915">
        <w:rPr>
          <w:rFonts w:ascii="Verdana" w:hAnsi="Verdana"/>
          <w:sz w:val="20"/>
          <w:szCs w:val="20"/>
        </w:rPr>
        <w:t>paslaugų teikėjas galės teikti paslaugas (vykdyti sutartį) tik teikėjo specialistams pasirašius Konfidencialumo pasižadėjimo formą (L</w:t>
      </w:r>
      <w:r w:rsidRPr="00E26915">
        <w:rPr>
          <w:rFonts w:ascii="Verdana" w:hAnsi="Verdana"/>
          <w:iCs/>
          <w:sz w:val="20"/>
          <w:szCs w:val="20"/>
        </w:rPr>
        <w:t>ietuvos banko 2025 m., 2026 m. ir 2027 m. metinių finansinių ataskaitų rinkinių audito</w:t>
      </w:r>
      <w:r w:rsidRPr="00E26915">
        <w:rPr>
          <w:rFonts w:ascii="Verdana" w:hAnsi="Verdana"/>
          <w:sz w:val="20"/>
          <w:szCs w:val="20"/>
        </w:rPr>
        <w:t xml:space="preserve"> paslaugų pirkimo sutartis, toliau - Sutarties 4 priedas). Konfidencialumo pasižadėjimo formos teikėjo, </w:t>
      </w:r>
      <w:proofErr w:type="spellStart"/>
      <w:r w:rsidRPr="00E26915">
        <w:rPr>
          <w:rFonts w:ascii="Verdana" w:hAnsi="Verdana"/>
          <w:sz w:val="20"/>
          <w:szCs w:val="20"/>
        </w:rPr>
        <w:t>subteikėjo</w:t>
      </w:r>
      <w:proofErr w:type="spellEnd"/>
      <w:r w:rsidRPr="00E26915">
        <w:rPr>
          <w:rFonts w:ascii="Verdana" w:hAnsi="Verdana"/>
          <w:sz w:val="20"/>
          <w:szCs w:val="20"/>
        </w:rPr>
        <w:t xml:space="preserve">, specialistų (kurių kvalifikacija buvo tikrinama viešojo pirkimo vykdymo metu) ir kitų specialistų, kurių kvalifikacija nebuvo tikrinama viešojo pirkimo vykdymo metu, bet jie bus įtraukti į paslaugų teikimą (viešojo pirkimo sutarties vykdymą) kaip kiti specialistai, turi būti pasirašytos ir pateiktos teikėjui per 5 d. d. nuo viešojo pirkimo sutarties įsigaliojimo dienos (nebent su Užsakovu yra sutariama kitaip). Keičiant / pasitelkiant naujus </w:t>
      </w:r>
      <w:proofErr w:type="spellStart"/>
      <w:r w:rsidRPr="00E26915">
        <w:rPr>
          <w:rFonts w:ascii="Verdana" w:hAnsi="Verdana"/>
          <w:sz w:val="20"/>
          <w:szCs w:val="20"/>
        </w:rPr>
        <w:t>subteikėjus</w:t>
      </w:r>
      <w:proofErr w:type="spellEnd"/>
      <w:r w:rsidRPr="00E26915">
        <w:rPr>
          <w:rFonts w:ascii="Verdana" w:hAnsi="Verdana"/>
          <w:sz w:val="20"/>
          <w:szCs w:val="20"/>
        </w:rPr>
        <w:t xml:space="preserve">, keičiant specialistus paslaugų teikimo (Sutarties vykdymo metu) kartu su raštu sudaromu susitarimu dėl </w:t>
      </w:r>
      <w:proofErr w:type="spellStart"/>
      <w:r w:rsidRPr="00E26915">
        <w:rPr>
          <w:rFonts w:ascii="Verdana" w:hAnsi="Verdana"/>
          <w:sz w:val="20"/>
          <w:szCs w:val="20"/>
        </w:rPr>
        <w:t>subteikėjų</w:t>
      </w:r>
      <w:proofErr w:type="spellEnd"/>
      <w:r w:rsidRPr="00E26915">
        <w:rPr>
          <w:rFonts w:ascii="Verdana" w:hAnsi="Verdana"/>
          <w:sz w:val="20"/>
          <w:szCs w:val="20"/>
        </w:rPr>
        <w:t xml:space="preserve">, specialistų (įtraukimo, pakeitimo ir pan.) turi būti pateikti šių specialistų konfidencialumo pasižadėjimai. </w:t>
      </w:r>
    </w:p>
    <w:p w14:paraId="54358C06" w14:textId="77777777" w:rsidR="00E26915" w:rsidRPr="00E26915" w:rsidRDefault="00E26915" w:rsidP="00E26915">
      <w:pPr>
        <w:numPr>
          <w:ilvl w:val="1"/>
          <w:numId w:val="17"/>
        </w:numPr>
        <w:tabs>
          <w:tab w:val="left" w:pos="426"/>
          <w:tab w:val="left" w:pos="993"/>
          <w:tab w:val="left" w:pos="1418"/>
        </w:tabs>
        <w:spacing w:after="0" w:line="240" w:lineRule="auto"/>
        <w:ind w:left="0" w:firstLine="567"/>
        <w:jc w:val="both"/>
        <w:outlineLvl w:val="1"/>
        <w:rPr>
          <w:rFonts w:ascii="Verdana" w:hAnsi="Verdana"/>
          <w:sz w:val="20"/>
          <w:szCs w:val="20"/>
        </w:rPr>
      </w:pPr>
      <w:r w:rsidRPr="00E26915">
        <w:rPr>
          <w:rFonts w:ascii="Verdana" w:hAnsi="Verdana"/>
          <w:sz w:val="20"/>
          <w:szCs w:val="20"/>
        </w:rPr>
        <w:t>paslaugos teikėjas turi imtis visų teisinių, techninių ir organizacinių priemonių iš Lietuvos banko gautai informacijai apsaugoti, todėl teikėjui nustatomi bent tokie minimalūs informacijos / kibernetinio saugumo reikalavimai:</w:t>
      </w:r>
    </w:p>
    <w:p w14:paraId="2549B666" w14:textId="77777777"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eastAsiaTheme="minorHAnsi" w:hAnsi="Verdana"/>
          <w:sz w:val="20"/>
          <w:szCs w:val="20"/>
        </w:rPr>
      </w:pPr>
      <w:r w:rsidRPr="00E26915">
        <w:rPr>
          <w:rFonts w:ascii="Verdana" w:hAnsi="Verdana"/>
          <w:sz w:val="20"/>
          <w:szCs w:val="20"/>
        </w:rPr>
        <w:t xml:space="preserve"> neatskleisti ir neperduoti kitiems fiziniams ar juridiniams asmenims iš Lietuvos banko gautos informacijos, užtikrinti tinkamą jos saugumą, laikyti ją paslaptyje ir pasibaigus sutarties vykdymui;</w:t>
      </w:r>
    </w:p>
    <w:p w14:paraId="17E71B6F" w14:textId="77777777"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eastAsiaTheme="minorHAnsi" w:hAnsi="Verdana"/>
          <w:sz w:val="20"/>
          <w:szCs w:val="20"/>
        </w:rPr>
      </w:pPr>
      <w:r w:rsidRPr="00E26915">
        <w:rPr>
          <w:rFonts w:ascii="Verdana" w:hAnsi="Verdana"/>
          <w:sz w:val="20"/>
          <w:szCs w:val="20"/>
        </w:rPr>
        <w:t xml:space="preserve"> apie informacijos atskleidimo ar perdavimo kitiems fiziniams ar juridiniams asmenims faktą ar kitokį iš Lietuvos banko gautos informacijos saugumo pažeidimą nedelsiant, jei įmanoma, praėjus ne daugiau kaip 24 valandoms nuo galimo informacijos saugumo pažeidimo nustatymo, informuoti Lietuvos banką ir imtis visų būtinų veiksmų, siekiant užkirsti kelią tolesniam informacijos atskleidimui.</w:t>
      </w:r>
    </w:p>
    <w:p w14:paraId="18142387" w14:textId="77777777"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eastAsiaTheme="minorHAnsi" w:hAnsi="Verdana"/>
          <w:sz w:val="20"/>
          <w:szCs w:val="20"/>
        </w:rPr>
      </w:pPr>
      <w:r w:rsidRPr="00E26915">
        <w:rPr>
          <w:rFonts w:ascii="Verdana" w:hAnsi="Verdana"/>
          <w:sz w:val="20"/>
          <w:szCs w:val="20"/>
        </w:rPr>
        <w:t xml:space="preserve">užtikrinti prieigos prie iš Lietuvos banko gautos informacijos (duomenų) bei ją apdorojančių paslaugų teikėjo informacinių technologijų priemonių, pvz. kompiuterio  (toliau – IT Turtas) valdymą, kuris turėtų apimti, bent šių reikalavimų įgyvendinimą: </w:t>
      </w:r>
    </w:p>
    <w:p w14:paraId="57A3C058"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eastAsiaTheme="minorHAnsi" w:hAnsi="Verdana"/>
          <w:sz w:val="20"/>
          <w:szCs w:val="20"/>
        </w:rPr>
      </w:pPr>
      <w:r w:rsidRPr="00E26915">
        <w:rPr>
          <w:rFonts w:ascii="Verdana" w:eastAsiaTheme="minorHAnsi" w:hAnsi="Verdana"/>
          <w:sz w:val="20"/>
          <w:szCs w:val="20"/>
        </w:rPr>
        <w:t xml:space="preserve">IT turto </w:t>
      </w:r>
      <w:r w:rsidRPr="00E26915">
        <w:rPr>
          <w:rFonts w:ascii="Verdana" w:hAnsi="Verdana"/>
          <w:sz w:val="20"/>
          <w:szCs w:val="20"/>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4016C2B1"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eastAsiaTheme="minorHAnsi" w:hAnsi="Verdana"/>
          <w:sz w:val="20"/>
          <w:szCs w:val="20"/>
        </w:rPr>
      </w:pPr>
      <w:r w:rsidRPr="00E26915">
        <w:rPr>
          <w:rFonts w:ascii="Verdana" w:hAnsi="Verdana"/>
          <w:sz w:val="20"/>
          <w:szCs w:val="20"/>
        </w:rPr>
        <w:t>unikalių IT turto naudotojo (administratoriaus) identifikavimo (pvz., naudotojo vardas) ir autentifikavimo priemonių (pvz. slaptažodžio) naudojimą;</w:t>
      </w:r>
    </w:p>
    <w:p w14:paraId="4437C828"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eastAsiaTheme="minorHAnsi" w:hAnsi="Verdana"/>
          <w:sz w:val="20"/>
          <w:szCs w:val="20"/>
        </w:rPr>
      </w:pPr>
      <w:r w:rsidRPr="00E26915">
        <w:rPr>
          <w:rFonts w:ascii="Verdana" w:eastAsiaTheme="minorHAnsi" w:hAnsi="Verdana"/>
          <w:sz w:val="20"/>
          <w:szCs w:val="20"/>
        </w:rPr>
        <w:t xml:space="preserve">IT turto </w:t>
      </w:r>
      <w:r w:rsidRPr="00E26915">
        <w:rPr>
          <w:rFonts w:ascii="Verdana" w:hAnsi="Verdana"/>
          <w:sz w:val="20"/>
          <w:szCs w:val="20"/>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E26915">
        <w:rPr>
          <w:rFonts w:ascii="Verdana" w:hAnsi="Verdana"/>
          <w:i/>
          <w:iCs/>
          <w:sz w:val="20"/>
          <w:szCs w:val="20"/>
        </w:rPr>
        <w:t>log</w:t>
      </w:r>
      <w:proofErr w:type="spellEnd"/>
      <w:r w:rsidRPr="00E26915">
        <w:rPr>
          <w:rFonts w:ascii="Verdana" w:hAnsi="Verdana"/>
          <w:i/>
          <w:iCs/>
          <w:sz w:val="20"/>
          <w:szCs w:val="20"/>
        </w:rPr>
        <w:t xml:space="preserve"> </w:t>
      </w:r>
      <w:proofErr w:type="spellStart"/>
      <w:r w:rsidRPr="00E26915">
        <w:rPr>
          <w:rFonts w:ascii="Verdana" w:hAnsi="Verdana"/>
          <w:i/>
          <w:iCs/>
          <w:sz w:val="20"/>
          <w:szCs w:val="20"/>
        </w:rPr>
        <w:t>file</w:t>
      </w:r>
      <w:proofErr w:type="spellEnd"/>
      <w:r w:rsidRPr="00E26915">
        <w:rPr>
          <w:rFonts w:ascii="Verdana" w:hAnsi="Verdana"/>
          <w:sz w:val="20"/>
          <w:szCs w:val="20"/>
        </w:rPr>
        <w:t>) ir atsakingų asmenų už šiuose žurnaluose saugomos informacijos reguliarią peržiūrą paskyrimą;</w:t>
      </w:r>
    </w:p>
    <w:p w14:paraId="2B0687CA" w14:textId="77777777"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hAnsi="Verdana"/>
          <w:sz w:val="20"/>
          <w:szCs w:val="20"/>
        </w:rPr>
      </w:pPr>
      <w:r w:rsidRPr="00E26915">
        <w:rPr>
          <w:rFonts w:ascii="Verdana" w:hAnsi="Verdana"/>
          <w:sz w:val="20"/>
          <w:szCs w:val="20"/>
        </w:rPr>
        <w:t>užtikrinti, kad prieiga prie IT Turto ir jame įdiegtų taikomųjų programų būtų suteikiama vadovaujantis principu „būtina naudoti“ (užduočiai ir (arba) darbui, ir (arba) vaidmeniui atlikti);</w:t>
      </w:r>
    </w:p>
    <w:p w14:paraId="34942162" w14:textId="77777777"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hAnsi="Verdana"/>
          <w:sz w:val="20"/>
          <w:szCs w:val="20"/>
        </w:rPr>
      </w:pPr>
      <w:r w:rsidRPr="00E26915">
        <w:rPr>
          <w:rFonts w:ascii="Verdana" w:hAnsi="Verdana"/>
          <w:sz w:val="20"/>
          <w:szCs w:val="20"/>
        </w:rPr>
        <w:t>užtikrinti, kad prieiga prie iš Lietuvos banko gautos informacijos (duomenų) būtų suteikiama vadovaujantis principu „būtina žinoti“;</w:t>
      </w:r>
    </w:p>
    <w:p w14:paraId="31D16DA4" w14:textId="77777777"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hAnsi="Verdana"/>
          <w:sz w:val="20"/>
          <w:szCs w:val="20"/>
        </w:rPr>
      </w:pPr>
      <w:r w:rsidRPr="00E26915">
        <w:rPr>
          <w:rFonts w:ascii="Verdana" w:hAnsi="Verdana"/>
          <w:sz w:val="20"/>
          <w:szCs w:val="20"/>
        </w:rPr>
        <w:t>užtikrinti IT Turto, įskaitant jame įdiegtų taikomųjų programų, valdymą, kuris turėtų apimti, bet neapsiriboti, bent šių reikalavimų įgyvendinimą: </w:t>
      </w:r>
    </w:p>
    <w:p w14:paraId="4A67F987"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hAnsi="Verdana"/>
          <w:sz w:val="20"/>
          <w:szCs w:val="20"/>
        </w:rPr>
      </w:pPr>
      <w:r w:rsidRPr="00E26915">
        <w:rPr>
          <w:rFonts w:ascii="Verdana" w:hAnsi="Verdana"/>
          <w:sz w:val="20"/>
          <w:szCs w:val="20"/>
        </w:rPr>
        <w:t xml:space="preserve">IT Turte turi būti </w:t>
      </w:r>
      <w:r w:rsidRPr="00E26915">
        <w:rPr>
          <w:rFonts w:ascii="Verdana" w:hAnsi="Verdana"/>
          <w:color w:val="000000"/>
          <w:sz w:val="20"/>
          <w:szCs w:val="20"/>
        </w:rPr>
        <w:t>įdiegiamos operacinės sistemos ir kiti naudojamos programinės įrangos gamintojų rekomenduojami atnaujinimai;</w:t>
      </w:r>
    </w:p>
    <w:p w14:paraId="11DC9ECA"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hAnsi="Verdana"/>
          <w:sz w:val="20"/>
          <w:szCs w:val="20"/>
        </w:rPr>
      </w:pPr>
      <w:r w:rsidRPr="00E26915">
        <w:rPr>
          <w:rFonts w:ascii="Verdana" w:hAnsi="Verdana"/>
          <w:sz w:val="20"/>
          <w:szCs w:val="20"/>
        </w:rPr>
        <w:t>IT Turtas turi būti prižiūrimas ir kontroliuojamas viso IT Turto gyvavimo ciklo metu;</w:t>
      </w:r>
    </w:p>
    <w:p w14:paraId="57C470B1"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hAnsi="Verdana"/>
          <w:sz w:val="20"/>
          <w:szCs w:val="20"/>
        </w:rPr>
      </w:pPr>
      <w:r w:rsidRPr="00E26915">
        <w:rPr>
          <w:rFonts w:ascii="Verdana" w:hAnsi="Verdana"/>
          <w:sz w:val="20"/>
          <w:szCs w:val="20"/>
        </w:rPr>
        <w:t>turi būti paskirti atsakingi už IT Turto, įskaitant jame įdiegtų taikomųjų programų, valdymą ir priežiūrą asmenys;</w:t>
      </w:r>
    </w:p>
    <w:p w14:paraId="262410D1"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hAnsi="Verdana"/>
          <w:sz w:val="20"/>
          <w:szCs w:val="20"/>
        </w:rPr>
      </w:pPr>
      <w:r w:rsidRPr="00E26915">
        <w:rPr>
          <w:rFonts w:ascii="Verdana" w:hAnsi="Verdana"/>
          <w:sz w:val="20"/>
          <w:szCs w:val="20"/>
        </w:rPr>
        <w:t>IT Turte turi būti diegiama (naudojama) tik legali programinė įranga;</w:t>
      </w:r>
    </w:p>
    <w:p w14:paraId="50A5E596"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hAnsi="Verdana"/>
          <w:sz w:val="20"/>
          <w:szCs w:val="20"/>
        </w:rPr>
      </w:pPr>
      <w:r w:rsidRPr="00E26915">
        <w:rPr>
          <w:rFonts w:ascii="Verdana" w:hAnsi="Verdana"/>
          <w:sz w:val="20"/>
          <w:szCs w:val="20"/>
        </w:rPr>
        <w:lastRenderedPageBreak/>
        <w:t>IT Turte turi būti naudojamos apsaugos nuo kenkimo programų aptikimo ir taisymo priemonės;</w:t>
      </w:r>
    </w:p>
    <w:p w14:paraId="07658629" w14:textId="77777777" w:rsidR="00E26915" w:rsidRPr="00E26915" w:rsidRDefault="00E26915" w:rsidP="00E26915">
      <w:pPr>
        <w:numPr>
          <w:ilvl w:val="3"/>
          <w:numId w:val="17"/>
        </w:numPr>
        <w:tabs>
          <w:tab w:val="left" w:pos="1843"/>
        </w:tabs>
        <w:spacing w:after="0" w:line="240" w:lineRule="auto"/>
        <w:ind w:left="0" w:firstLine="567"/>
        <w:jc w:val="both"/>
        <w:outlineLvl w:val="1"/>
        <w:rPr>
          <w:rFonts w:ascii="Verdana" w:hAnsi="Verdana"/>
          <w:sz w:val="20"/>
          <w:szCs w:val="20"/>
        </w:rPr>
      </w:pPr>
      <w:r w:rsidRPr="00E26915">
        <w:rPr>
          <w:rFonts w:ascii="Verdana" w:hAnsi="Verdana"/>
          <w:sz w:val="20"/>
          <w:szCs w:val="20"/>
        </w:rPr>
        <w:t>IT turto naudotojai (administratoriai) turi būti informuojami apie saugumo reikalavimus ir procedūras, taikomas IT Turto apsaugai bei atsakomybę už tokios apsaugos įgyvendinimą (pvz., IT turto fizinę apsaugą, švaraus stalo ir ekrano politikos įgyvendinimą).</w:t>
      </w:r>
    </w:p>
    <w:p w14:paraId="5CD87E20" w14:textId="4BCADA59" w:rsidR="00E26915" w:rsidRPr="00C97BEC" w:rsidRDefault="00E26915" w:rsidP="00E26915">
      <w:pPr>
        <w:numPr>
          <w:ilvl w:val="2"/>
          <w:numId w:val="17"/>
        </w:numPr>
        <w:tabs>
          <w:tab w:val="left" w:pos="426"/>
          <w:tab w:val="left" w:pos="1418"/>
        </w:tabs>
        <w:spacing w:after="0" w:line="240" w:lineRule="auto"/>
        <w:ind w:left="0" w:firstLine="567"/>
        <w:jc w:val="both"/>
        <w:outlineLvl w:val="1"/>
        <w:rPr>
          <w:rFonts w:ascii="Verdana" w:hAnsi="Verdana"/>
          <w:sz w:val="20"/>
          <w:szCs w:val="20"/>
        </w:rPr>
      </w:pPr>
      <w:r w:rsidRPr="00C97BEC">
        <w:rPr>
          <w:rFonts w:ascii="Verdana" w:hAnsi="Verdana"/>
          <w:sz w:val="20"/>
          <w:szCs w:val="20"/>
        </w:rPr>
        <w:t>Užtikrinti, kad laikmenos (pvz. kompiuterio diskas) kuriuose yra saugomi iš Lietuvos banko sutarties vykdymo metu gauti duomenys, būtų šifruojamos.</w:t>
      </w:r>
    </w:p>
    <w:p w14:paraId="786B8A68" w14:textId="40275F19" w:rsidR="00E26915" w:rsidRPr="00E26915" w:rsidRDefault="00E26915" w:rsidP="00E26915">
      <w:pPr>
        <w:numPr>
          <w:ilvl w:val="2"/>
          <w:numId w:val="17"/>
        </w:numPr>
        <w:tabs>
          <w:tab w:val="left" w:pos="426"/>
          <w:tab w:val="left" w:pos="1418"/>
        </w:tabs>
        <w:spacing w:after="0" w:line="240" w:lineRule="auto"/>
        <w:ind w:left="0" w:firstLine="567"/>
        <w:jc w:val="both"/>
        <w:outlineLvl w:val="1"/>
        <w:rPr>
          <w:rFonts w:ascii="Verdana" w:hAnsi="Verdana"/>
          <w:sz w:val="20"/>
          <w:szCs w:val="20"/>
        </w:rPr>
      </w:pPr>
      <w:r w:rsidRPr="00C97BEC">
        <w:rPr>
          <w:rFonts w:ascii="Verdana" w:hAnsi="Verdana"/>
          <w:sz w:val="20"/>
          <w:szCs w:val="20"/>
        </w:rPr>
        <w:t>Užtikrinti, kad v</w:t>
      </w:r>
      <w:r w:rsidRPr="00C97BEC">
        <w:rPr>
          <w:rFonts w:ascii="Verdana" w:hAnsi="Verdana"/>
          <w:color w:val="000000"/>
          <w:sz w:val="20"/>
          <w:szCs w:val="20"/>
        </w:rPr>
        <w:t>iešaisiais elektroninių ryšių tinklais perduodamos informacijos</w:t>
      </w:r>
      <w:r w:rsidRPr="00E26915">
        <w:rPr>
          <w:rFonts w:ascii="Verdana" w:hAnsi="Verdana"/>
          <w:color w:val="000000"/>
          <w:sz w:val="20"/>
          <w:szCs w:val="20"/>
        </w:rPr>
        <w:t xml:space="preserve"> </w:t>
      </w:r>
      <w:r w:rsidRPr="00E26915">
        <w:rPr>
          <w:rFonts w:ascii="Verdana" w:hAnsi="Verdana"/>
          <w:color w:val="000000"/>
          <w:sz w:val="20"/>
          <w:szCs w:val="20"/>
        </w:rPr>
        <w:t xml:space="preserve">konfidencialumas būtų </w:t>
      </w:r>
      <w:r w:rsidRPr="00E26915">
        <w:rPr>
          <w:rFonts w:ascii="Verdana" w:hAnsi="Verdana"/>
          <w:sz w:val="20"/>
          <w:szCs w:val="20"/>
        </w:rPr>
        <w:t>užtikrintas</w:t>
      </w:r>
      <w:r w:rsidRPr="00E26915">
        <w:rPr>
          <w:rFonts w:ascii="Verdana" w:hAnsi="Verdana"/>
          <w:color w:val="000000"/>
          <w:sz w:val="20"/>
          <w:szCs w:val="20"/>
        </w:rPr>
        <w:t xml:space="preserve"> naudojant šifravimą, virtualųjį privatų tinklą (angl. </w:t>
      </w:r>
      <w:proofErr w:type="spellStart"/>
      <w:r w:rsidRPr="00E26915">
        <w:rPr>
          <w:rFonts w:ascii="Verdana" w:hAnsi="Verdana"/>
          <w:i/>
          <w:color w:val="000000"/>
          <w:sz w:val="20"/>
          <w:szCs w:val="20"/>
        </w:rPr>
        <w:t>Virtual</w:t>
      </w:r>
      <w:proofErr w:type="spellEnd"/>
      <w:r w:rsidRPr="00E26915">
        <w:rPr>
          <w:rFonts w:ascii="Verdana" w:hAnsi="Verdana"/>
          <w:i/>
          <w:color w:val="000000"/>
          <w:sz w:val="20"/>
          <w:szCs w:val="20"/>
        </w:rPr>
        <w:t xml:space="preserve"> </w:t>
      </w:r>
      <w:proofErr w:type="spellStart"/>
      <w:r w:rsidRPr="00E26915">
        <w:rPr>
          <w:rFonts w:ascii="Verdana" w:hAnsi="Verdana"/>
          <w:i/>
          <w:color w:val="000000"/>
          <w:sz w:val="20"/>
          <w:szCs w:val="20"/>
        </w:rPr>
        <w:t>private</w:t>
      </w:r>
      <w:proofErr w:type="spellEnd"/>
      <w:r w:rsidRPr="00E26915">
        <w:rPr>
          <w:rFonts w:ascii="Verdana" w:hAnsi="Verdana"/>
          <w:i/>
          <w:color w:val="000000"/>
          <w:sz w:val="20"/>
          <w:szCs w:val="20"/>
        </w:rPr>
        <w:t xml:space="preserve"> </w:t>
      </w:r>
      <w:proofErr w:type="spellStart"/>
      <w:r w:rsidRPr="00E26915">
        <w:rPr>
          <w:rFonts w:ascii="Verdana" w:hAnsi="Verdana"/>
          <w:i/>
          <w:color w:val="000000"/>
          <w:sz w:val="20"/>
          <w:szCs w:val="20"/>
        </w:rPr>
        <w:t>network</w:t>
      </w:r>
      <w:proofErr w:type="spellEnd"/>
      <w:r w:rsidRPr="00E26915">
        <w:rPr>
          <w:rFonts w:ascii="Verdana" w:hAnsi="Verdana"/>
          <w:i/>
          <w:color w:val="000000"/>
          <w:sz w:val="20"/>
          <w:szCs w:val="20"/>
        </w:rPr>
        <w:t>, VPN</w:t>
      </w:r>
      <w:r w:rsidRPr="00E26915">
        <w:rPr>
          <w:rFonts w:ascii="Verdana" w:hAnsi="Verdana"/>
          <w:color w:val="000000"/>
          <w:sz w:val="20"/>
          <w:szCs w:val="20"/>
        </w:rPr>
        <w:t>)</w:t>
      </w:r>
      <w:r w:rsidRPr="00E26915">
        <w:rPr>
          <w:rFonts w:ascii="Verdana" w:hAnsi="Verdana"/>
          <w:sz w:val="20"/>
          <w:szCs w:val="20"/>
        </w:rPr>
        <w:t>.</w:t>
      </w:r>
    </w:p>
    <w:p w14:paraId="1858F6CF" w14:textId="77777777" w:rsidR="00E2230C" w:rsidRDefault="00E2230C" w:rsidP="00E2230C">
      <w:pPr>
        <w:spacing w:after="0" w:line="240" w:lineRule="auto"/>
        <w:rPr>
          <w:rFonts w:ascii="Verdana" w:hAnsi="Verdana"/>
          <w:sz w:val="20"/>
          <w:szCs w:val="20"/>
        </w:rPr>
      </w:pPr>
    </w:p>
    <w:sectPr w:rsidR="00E2230C" w:rsidSect="0098408C">
      <w:headerReference w:type="default" r:id="rId8"/>
      <w:pgSz w:w="11906" w:h="16838"/>
      <w:pgMar w:top="1134" w:right="567" w:bottom="567" w:left="13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BE33C" w14:textId="77777777" w:rsidR="00686B0A" w:rsidRDefault="00686B0A" w:rsidP="00563AC4">
      <w:pPr>
        <w:spacing w:after="0" w:line="240" w:lineRule="auto"/>
      </w:pPr>
      <w:r>
        <w:separator/>
      </w:r>
    </w:p>
  </w:endnote>
  <w:endnote w:type="continuationSeparator" w:id="0">
    <w:p w14:paraId="7CF6A14C" w14:textId="77777777" w:rsidR="00686B0A" w:rsidRDefault="00686B0A" w:rsidP="00563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utigerLT-Ligh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DAD6" w14:textId="77777777" w:rsidR="00686B0A" w:rsidRDefault="00686B0A" w:rsidP="00563AC4">
      <w:pPr>
        <w:spacing w:after="0" w:line="240" w:lineRule="auto"/>
      </w:pPr>
      <w:r>
        <w:separator/>
      </w:r>
    </w:p>
  </w:footnote>
  <w:footnote w:type="continuationSeparator" w:id="0">
    <w:p w14:paraId="572E3BBB" w14:textId="77777777" w:rsidR="00686B0A" w:rsidRDefault="00686B0A" w:rsidP="00563AC4">
      <w:pPr>
        <w:spacing w:after="0" w:line="240" w:lineRule="auto"/>
      </w:pPr>
      <w:r>
        <w:continuationSeparator/>
      </w:r>
    </w:p>
  </w:footnote>
  <w:footnote w:id="1">
    <w:p w14:paraId="50A9B07D" w14:textId="77777777" w:rsidR="00E26915" w:rsidRDefault="00E26915" w:rsidP="00E26915">
      <w:pPr>
        <w:pStyle w:val="FootnoteText"/>
      </w:pPr>
      <w:r w:rsidRPr="004D7A36">
        <w:rPr>
          <w:rStyle w:val="FootnoteReference"/>
        </w:rPr>
        <w:footnoteRef/>
      </w:r>
      <w:r w:rsidRPr="004D7A36">
        <w:t xml:space="preserve"> </w:t>
      </w:r>
      <w:r>
        <w:t xml:space="preserve">Lietuvos Respublikos Lietuvos banko įstatymo 1, 7 ir 8 str.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99C02" w14:textId="12432CD9" w:rsidR="00563AC4" w:rsidRDefault="00563AC4" w:rsidP="00563AC4">
    <w:pPr>
      <w:pStyle w:val="Header"/>
      <w:jc w:val="right"/>
    </w:pPr>
    <w:r w:rsidRPr="00563AC4">
      <w:t xml:space="preserve">Pirkimo sąlygų </w:t>
    </w:r>
    <w:r>
      <w:rPr>
        <w:lang w:val="en-US"/>
      </w:rPr>
      <w:t>2</w:t>
    </w:r>
    <w:r w:rsidRPr="00563AC4">
      <w:t xml:space="preserve"> priedas „T</w:t>
    </w:r>
    <w:r>
      <w:t>echninė specifikacija</w:t>
    </w:r>
    <w:r w:rsidRPr="00563AC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9053D"/>
    <w:multiLevelType w:val="hybridMultilevel"/>
    <w:tmpl w:val="BE8EE97A"/>
    <w:lvl w:ilvl="0" w:tplc="04270001">
      <w:start w:val="1"/>
      <w:numFmt w:val="bullet"/>
      <w:lvlText w:val=""/>
      <w:lvlJc w:val="left"/>
      <w:pPr>
        <w:ind w:left="4778" w:hanging="360"/>
      </w:pPr>
      <w:rPr>
        <w:rFonts w:ascii="Symbol" w:hAnsi="Symbol" w:hint="default"/>
      </w:rPr>
    </w:lvl>
    <w:lvl w:ilvl="1" w:tplc="04270003" w:tentative="1">
      <w:start w:val="1"/>
      <w:numFmt w:val="bullet"/>
      <w:lvlText w:val="o"/>
      <w:lvlJc w:val="left"/>
      <w:pPr>
        <w:ind w:left="5498" w:hanging="360"/>
      </w:pPr>
      <w:rPr>
        <w:rFonts w:ascii="Courier New" w:hAnsi="Courier New" w:cs="Courier New" w:hint="default"/>
      </w:rPr>
    </w:lvl>
    <w:lvl w:ilvl="2" w:tplc="04270005" w:tentative="1">
      <w:start w:val="1"/>
      <w:numFmt w:val="bullet"/>
      <w:lvlText w:val=""/>
      <w:lvlJc w:val="left"/>
      <w:pPr>
        <w:ind w:left="6218" w:hanging="360"/>
      </w:pPr>
      <w:rPr>
        <w:rFonts w:ascii="Wingdings" w:hAnsi="Wingdings" w:hint="default"/>
      </w:rPr>
    </w:lvl>
    <w:lvl w:ilvl="3" w:tplc="04270001" w:tentative="1">
      <w:start w:val="1"/>
      <w:numFmt w:val="bullet"/>
      <w:lvlText w:val=""/>
      <w:lvlJc w:val="left"/>
      <w:pPr>
        <w:ind w:left="6938" w:hanging="360"/>
      </w:pPr>
      <w:rPr>
        <w:rFonts w:ascii="Symbol" w:hAnsi="Symbol" w:hint="default"/>
      </w:rPr>
    </w:lvl>
    <w:lvl w:ilvl="4" w:tplc="04270003" w:tentative="1">
      <w:start w:val="1"/>
      <w:numFmt w:val="bullet"/>
      <w:lvlText w:val="o"/>
      <w:lvlJc w:val="left"/>
      <w:pPr>
        <w:ind w:left="7658" w:hanging="360"/>
      </w:pPr>
      <w:rPr>
        <w:rFonts w:ascii="Courier New" w:hAnsi="Courier New" w:cs="Courier New" w:hint="default"/>
      </w:rPr>
    </w:lvl>
    <w:lvl w:ilvl="5" w:tplc="04270005" w:tentative="1">
      <w:start w:val="1"/>
      <w:numFmt w:val="bullet"/>
      <w:lvlText w:val=""/>
      <w:lvlJc w:val="left"/>
      <w:pPr>
        <w:ind w:left="8378" w:hanging="360"/>
      </w:pPr>
      <w:rPr>
        <w:rFonts w:ascii="Wingdings" w:hAnsi="Wingdings" w:hint="default"/>
      </w:rPr>
    </w:lvl>
    <w:lvl w:ilvl="6" w:tplc="04270001" w:tentative="1">
      <w:start w:val="1"/>
      <w:numFmt w:val="bullet"/>
      <w:lvlText w:val=""/>
      <w:lvlJc w:val="left"/>
      <w:pPr>
        <w:ind w:left="9098" w:hanging="360"/>
      </w:pPr>
      <w:rPr>
        <w:rFonts w:ascii="Symbol" w:hAnsi="Symbol" w:hint="default"/>
      </w:rPr>
    </w:lvl>
    <w:lvl w:ilvl="7" w:tplc="04270003" w:tentative="1">
      <w:start w:val="1"/>
      <w:numFmt w:val="bullet"/>
      <w:lvlText w:val="o"/>
      <w:lvlJc w:val="left"/>
      <w:pPr>
        <w:ind w:left="9818" w:hanging="360"/>
      </w:pPr>
      <w:rPr>
        <w:rFonts w:ascii="Courier New" w:hAnsi="Courier New" w:cs="Courier New" w:hint="default"/>
      </w:rPr>
    </w:lvl>
    <w:lvl w:ilvl="8" w:tplc="04270005" w:tentative="1">
      <w:start w:val="1"/>
      <w:numFmt w:val="bullet"/>
      <w:lvlText w:val=""/>
      <w:lvlJc w:val="left"/>
      <w:pPr>
        <w:ind w:left="10538" w:hanging="360"/>
      </w:pPr>
      <w:rPr>
        <w:rFonts w:ascii="Wingdings" w:hAnsi="Wingdings" w:hint="default"/>
      </w:rPr>
    </w:lvl>
  </w:abstractNum>
  <w:abstractNum w:abstractNumId="1" w15:restartNumberingAfterBreak="0">
    <w:nsid w:val="087B0FD5"/>
    <w:multiLevelType w:val="multilevel"/>
    <w:tmpl w:val="F5F2CE6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D24F7B"/>
    <w:multiLevelType w:val="hybridMultilevel"/>
    <w:tmpl w:val="E12AC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743FD6"/>
    <w:multiLevelType w:val="hybridMultilevel"/>
    <w:tmpl w:val="9D7ABE6C"/>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5806AB8"/>
    <w:multiLevelType w:val="multilevel"/>
    <w:tmpl w:val="E7040284"/>
    <w:lvl w:ilvl="0">
      <w:start w:val="1"/>
      <w:numFmt w:val="decimal"/>
      <w:lvlText w:val="%1."/>
      <w:lvlJc w:val="left"/>
      <w:pPr>
        <w:ind w:left="1825" w:hanging="69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2B61686B"/>
    <w:multiLevelType w:val="hybridMultilevel"/>
    <w:tmpl w:val="5516B652"/>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2E18133A"/>
    <w:multiLevelType w:val="multilevel"/>
    <w:tmpl w:val="CD06FAD4"/>
    <w:lvl w:ilvl="0">
      <w:start w:val="1"/>
      <w:numFmt w:val="decimal"/>
      <w:pStyle w:val="Pavadinimas"/>
      <w:suff w:val="space"/>
      <w:lvlText w:val="%1."/>
      <w:lvlJc w:val="left"/>
      <w:pPr>
        <w:ind w:left="5132" w:firstLine="397"/>
      </w:pPr>
      <w:rPr>
        <w:rFonts w:ascii="Verdana" w:eastAsia="Times New Roman" w:hAnsi="Verdana" w:cs="Times New Roman" w:hint="default"/>
      </w:rPr>
    </w:lvl>
    <w:lvl w:ilvl="1">
      <w:start w:val="1"/>
      <w:numFmt w:val="decimal"/>
      <w:pStyle w:val="Skyrelis"/>
      <w:suff w:val="space"/>
      <w:lvlText w:val="%1.%2."/>
      <w:lvlJc w:val="left"/>
      <w:pPr>
        <w:ind w:left="2013" w:firstLine="397"/>
      </w:pPr>
      <w:rPr>
        <w:rFonts w:hint="default"/>
      </w:rPr>
    </w:lvl>
    <w:lvl w:ilvl="2">
      <w:start w:val="1"/>
      <w:numFmt w:val="decimal"/>
      <w:pStyle w:val="Poskyris"/>
      <w:suff w:val="space"/>
      <w:lvlText w:val="%1.%2.%3."/>
      <w:lvlJc w:val="left"/>
      <w:pPr>
        <w:ind w:left="-40" w:firstLine="397"/>
      </w:pPr>
      <w:rPr>
        <w:rFonts w:hint="default"/>
      </w:rPr>
    </w:lvl>
    <w:lvl w:ilvl="3">
      <w:start w:val="1"/>
      <w:numFmt w:val="decimal"/>
      <w:pStyle w:val="Poskyriotekstas"/>
      <w:suff w:val="space"/>
      <w:lvlText w:val="%1.%2.%3.%4"/>
      <w:lvlJc w:val="left"/>
      <w:pPr>
        <w:ind w:left="-40" w:firstLine="397"/>
      </w:pPr>
      <w:rPr>
        <w:rFonts w:hint="default"/>
      </w:rPr>
    </w:lvl>
    <w:lvl w:ilvl="4">
      <w:start w:val="1"/>
      <w:numFmt w:val="lowerLetter"/>
      <w:lvlText w:val="(%5)"/>
      <w:lvlJc w:val="left"/>
      <w:pPr>
        <w:tabs>
          <w:tab w:val="num" w:pos="640"/>
        </w:tabs>
        <w:ind w:left="-40" w:firstLine="397"/>
      </w:pPr>
      <w:rPr>
        <w:rFonts w:hint="default"/>
      </w:rPr>
    </w:lvl>
    <w:lvl w:ilvl="5">
      <w:start w:val="1"/>
      <w:numFmt w:val="lowerRoman"/>
      <w:lvlText w:val="(%6)"/>
      <w:lvlJc w:val="left"/>
      <w:pPr>
        <w:tabs>
          <w:tab w:val="num" w:pos="640"/>
        </w:tabs>
        <w:ind w:left="-40" w:firstLine="397"/>
      </w:pPr>
      <w:rPr>
        <w:rFonts w:hint="default"/>
      </w:rPr>
    </w:lvl>
    <w:lvl w:ilvl="6">
      <w:start w:val="1"/>
      <w:numFmt w:val="decimal"/>
      <w:lvlText w:val="%7."/>
      <w:lvlJc w:val="left"/>
      <w:pPr>
        <w:tabs>
          <w:tab w:val="num" w:pos="640"/>
        </w:tabs>
        <w:ind w:left="-40" w:firstLine="397"/>
      </w:pPr>
      <w:rPr>
        <w:rFonts w:hint="default"/>
      </w:rPr>
    </w:lvl>
    <w:lvl w:ilvl="7">
      <w:start w:val="1"/>
      <w:numFmt w:val="lowerLetter"/>
      <w:lvlText w:val="%8."/>
      <w:lvlJc w:val="left"/>
      <w:pPr>
        <w:tabs>
          <w:tab w:val="num" w:pos="640"/>
        </w:tabs>
        <w:ind w:left="-40" w:firstLine="397"/>
      </w:pPr>
      <w:rPr>
        <w:rFonts w:hint="default"/>
      </w:rPr>
    </w:lvl>
    <w:lvl w:ilvl="8">
      <w:start w:val="1"/>
      <w:numFmt w:val="lowerRoman"/>
      <w:lvlText w:val="%9."/>
      <w:lvlJc w:val="left"/>
      <w:pPr>
        <w:tabs>
          <w:tab w:val="num" w:pos="640"/>
        </w:tabs>
        <w:ind w:left="-40" w:firstLine="397"/>
      </w:pPr>
      <w:rPr>
        <w:rFonts w:hint="default"/>
      </w:rPr>
    </w:lvl>
  </w:abstractNum>
  <w:abstractNum w:abstractNumId="7" w15:restartNumberingAfterBreak="0">
    <w:nsid w:val="4AD63EC5"/>
    <w:multiLevelType w:val="multilevel"/>
    <w:tmpl w:val="A296FF10"/>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60E15B1F"/>
    <w:multiLevelType w:val="multilevel"/>
    <w:tmpl w:val="B7327602"/>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A14233"/>
    <w:multiLevelType w:val="multilevel"/>
    <w:tmpl w:val="F5F2CE6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A05C31"/>
    <w:multiLevelType w:val="hybridMultilevel"/>
    <w:tmpl w:val="E1040E50"/>
    <w:lvl w:ilvl="0" w:tplc="F0D23F6E">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F404245"/>
    <w:multiLevelType w:val="multilevel"/>
    <w:tmpl w:val="89F27582"/>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sz w:val="20"/>
        <w:szCs w:val="20"/>
      </w:rPr>
    </w:lvl>
    <w:lvl w:ilvl="2">
      <w:start w:val="1"/>
      <w:numFmt w:val="decimal"/>
      <w:isLgl/>
      <w:suff w:val="nothing"/>
      <w:lvlText w:val="%1.%2.%3."/>
      <w:lvlJc w:val="left"/>
      <w:pPr>
        <w:ind w:left="1288" w:hanging="720"/>
      </w:pPr>
      <w:rPr>
        <w:rFonts w:ascii="Verdana" w:hAnsi="Verdana" w:cs="Times New Roman" w:hint="default"/>
        <w:b w:val="0"/>
        <w:bCs/>
      </w:rPr>
    </w:lvl>
    <w:lvl w:ilvl="3">
      <w:start w:val="1"/>
      <w:numFmt w:val="decimal"/>
      <w:isLgl/>
      <w:suff w:val="nothing"/>
      <w:lvlText w:val="%1.%2.%3.%4."/>
      <w:lvlJc w:val="left"/>
      <w:pPr>
        <w:ind w:left="525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62F2C14"/>
    <w:multiLevelType w:val="hybridMultilevel"/>
    <w:tmpl w:val="0C3C9F4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6D0B68"/>
    <w:multiLevelType w:val="multilevel"/>
    <w:tmpl w:val="F02A1522"/>
    <w:lvl w:ilvl="0">
      <w:start w:val="1"/>
      <w:numFmt w:val="upperRoman"/>
      <w:lvlText w:val="%1."/>
      <w:lvlJc w:val="right"/>
      <w:pPr>
        <w:ind w:left="2701" w:hanging="432"/>
      </w:pPr>
    </w:lvl>
    <w:lvl w:ilvl="1">
      <w:start w:val="1"/>
      <w:numFmt w:val="decimal"/>
      <w:suff w:val="space"/>
      <w:lvlText w:val="%1.%2."/>
      <w:lvlJc w:val="left"/>
      <w:pPr>
        <w:ind w:left="-72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B0E27B9"/>
    <w:multiLevelType w:val="multilevel"/>
    <w:tmpl w:val="8A22BF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suff w:val="nothing"/>
      <w:lvlText w:val="%1.%2.%3."/>
      <w:lvlJc w:val="left"/>
      <w:pPr>
        <w:ind w:left="1288" w:hanging="720"/>
      </w:pPr>
      <w:rPr>
        <w:b w:val="0"/>
        <w:bCs/>
        <w:sz w:val="20"/>
        <w:szCs w:val="20"/>
      </w:rPr>
    </w:lvl>
    <w:lvl w:ilvl="3">
      <w:start w:val="1"/>
      <w:numFmt w:val="decimal"/>
      <w:isLgl/>
      <w:suff w:val="nothing"/>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53317819">
    <w:abstractNumId w:val="13"/>
  </w:num>
  <w:num w:numId="2" w16cid:durableId="876544821">
    <w:abstractNumId w:val="11"/>
  </w:num>
  <w:num w:numId="3" w16cid:durableId="1759599773">
    <w:abstractNumId w:val="6"/>
  </w:num>
  <w:num w:numId="4" w16cid:durableId="470170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0766544">
    <w:abstractNumId w:val="0"/>
  </w:num>
  <w:num w:numId="6" w16cid:durableId="1287351809">
    <w:abstractNumId w:val="10"/>
  </w:num>
  <w:num w:numId="7" w16cid:durableId="1855337355">
    <w:abstractNumId w:val="3"/>
  </w:num>
  <w:num w:numId="8" w16cid:durableId="1890679538">
    <w:abstractNumId w:val="8"/>
  </w:num>
  <w:num w:numId="9" w16cid:durableId="138229416">
    <w:abstractNumId w:val="1"/>
  </w:num>
  <w:num w:numId="10" w16cid:durableId="151415914">
    <w:abstractNumId w:val="9"/>
  </w:num>
  <w:num w:numId="11" w16cid:durableId="952975451">
    <w:abstractNumId w:val="5"/>
  </w:num>
  <w:num w:numId="12" w16cid:durableId="391930147">
    <w:abstractNumId w:val="14"/>
  </w:num>
  <w:num w:numId="13" w16cid:durableId="1213496174">
    <w:abstractNumId w:val="12"/>
  </w:num>
  <w:num w:numId="14" w16cid:durableId="414934299">
    <w:abstractNumId w:val="2"/>
  </w:num>
  <w:num w:numId="15" w16cid:durableId="1240208913">
    <w:abstractNumId w:val="11"/>
    <w:lvlOverride w:ilvl="0">
      <w:startOverride w:val="3"/>
    </w:lvlOverride>
    <w:lvlOverride w:ilvl="1">
      <w:startOverride w:val="3"/>
    </w:lvlOverride>
    <w:lvlOverride w:ilvl="2">
      <w:startOverride w:val="6"/>
    </w:lvlOverride>
    <w:lvlOverride w:ilvl="3">
      <w:startOverride w:val="2"/>
    </w:lvlOverride>
  </w:num>
  <w:num w:numId="16" w16cid:durableId="1569607511">
    <w:abstractNumId w:val="7"/>
  </w:num>
  <w:num w:numId="17" w16cid:durableId="70059284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AC4"/>
    <w:rsid w:val="00035AB4"/>
    <w:rsid w:val="0015367F"/>
    <w:rsid w:val="00245624"/>
    <w:rsid w:val="0026738E"/>
    <w:rsid w:val="003D1B89"/>
    <w:rsid w:val="00536054"/>
    <w:rsid w:val="00563AC4"/>
    <w:rsid w:val="00583FC9"/>
    <w:rsid w:val="0063204A"/>
    <w:rsid w:val="00641A9D"/>
    <w:rsid w:val="00660E50"/>
    <w:rsid w:val="00686B0A"/>
    <w:rsid w:val="00753FE6"/>
    <w:rsid w:val="00913041"/>
    <w:rsid w:val="0098408C"/>
    <w:rsid w:val="00A02F5E"/>
    <w:rsid w:val="00A963A7"/>
    <w:rsid w:val="00B52A3C"/>
    <w:rsid w:val="00B62024"/>
    <w:rsid w:val="00BB7401"/>
    <w:rsid w:val="00BF71F3"/>
    <w:rsid w:val="00C1625C"/>
    <w:rsid w:val="00C97BEC"/>
    <w:rsid w:val="00CF6B71"/>
    <w:rsid w:val="00E2230C"/>
    <w:rsid w:val="00E26915"/>
    <w:rsid w:val="00F82FB9"/>
    <w:rsid w:val="00FA75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BEC77"/>
  <w15:chartTrackingRefBased/>
  <w15:docId w15:val="{BC626421-B6F4-41AE-83FC-B642C6CB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AC4"/>
    <w:pPr>
      <w:spacing w:after="200" w:line="276" w:lineRule="auto"/>
    </w:pPr>
    <w:rPr>
      <w:rFonts w:ascii="Calibri" w:eastAsia="Calibri" w:hAnsi="Calibri" w:cs="Times New Roman"/>
      <w:kern w:val="0"/>
      <w14:ligatures w14:val="none"/>
    </w:rPr>
  </w:style>
  <w:style w:type="paragraph" w:styleId="Heading1">
    <w:name w:val="heading 1"/>
    <w:basedOn w:val="ListParagraph"/>
    <w:next w:val="Normal"/>
    <w:link w:val="Heading1Char"/>
    <w:uiPriority w:val="99"/>
    <w:qFormat/>
    <w:rsid w:val="00563AC4"/>
    <w:pPr>
      <w:numPr>
        <w:numId w:val="2"/>
      </w:numPr>
      <w:spacing w:after="0" w:line="240" w:lineRule="auto"/>
      <w:jc w:val="center"/>
      <w:outlineLvl w:val="0"/>
    </w:pPr>
    <w:rPr>
      <w:rFonts w:ascii="Verdana" w:hAnsi="Verdana"/>
      <w:b/>
      <w:caps/>
      <w:sz w:val="20"/>
      <w:szCs w:val="20"/>
      <w:lang w:val="x-none"/>
    </w:rPr>
  </w:style>
  <w:style w:type="paragraph" w:styleId="Heading2">
    <w:name w:val="heading 2"/>
    <w:basedOn w:val="Normal"/>
    <w:next w:val="Normal"/>
    <w:link w:val="Heading2Char"/>
    <w:uiPriority w:val="99"/>
    <w:qFormat/>
    <w:rsid w:val="00563AC4"/>
    <w:pPr>
      <w:tabs>
        <w:tab w:val="left" w:pos="567"/>
      </w:tabs>
      <w:spacing w:after="0" w:line="240" w:lineRule="auto"/>
      <w:jc w:val="center"/>
      <w:outlineLvl w:val="1"/>
    </w:pPr>
    <w:rPr>
      <w:rFonts w:ascii="Verdana" w:hAnsi="Verdana"/>
      <w:sz w:val="20"/>
      <w:szCs w:val="20"/>
    </w:rPr>
  </w:style>
  <w:style w:type="paragraph" w:styleId="Heading3">
    <w:name w:val="heading 3"/>
    <w:basedOn w:val="Normal"/>
    <w:next w:val="Normal"/>
    <w:link w:val="Heading3Char"/>
    <w:qFormat/>
    <w:rsid w:val="00563AC4"/>
    <w:pPr>
      <w:keepNext/>
      <w:numPr>
        <w:ilvl w:val="2"/>
        <w:numId w:val="1"/>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563AC4"/>
    <w:pPr>
      <w:keepNext/>
      <w:numPr>
        <w:ilvl w:val="3"/>
        <w:numId w:val="1"/>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563AC4"/>
    <w:pPr>
      <w:keepNext/>
      <w:numPr>
        <w:ilvl w:val="4"/>
        <w:numId w:val="1"/>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563AC4"/>
    <w:pPr>
      <w:keepNext/>
      <w:numPr>
        <w:ilvl w:val="5"/>
        <w:numId w:val="1"/>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563AC4"/>
    <w:pPr>
      <w:keepNext/>
      <w:numPr>
        <w:ilvl w:val="6"/>
        <w:numId w:val="1"/>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563AC4"/>
    <w:pPr>
      <w:keepNext/>
      <w:numPr>
        <w:ilvl w:val="7"/>
        <w:numId w:val="1"/>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563AC4"/>
    <w:pPr>
      <w:keepNext/>
      <w:numPr>
        <w:ilvl w:val="8"/>
        <w:numId w:val="1"/>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3AC4"/>
    <w:rPr>
      <w:rFonts w:ascii="Verdana" w:eastAsia="Calibri" w:hAnsi="Verdana" w:cs="Times New Roman"/>
      <w:b/>
      <w:caps/>
      <w:kern w:val="0"/>
      <w:sz w:val="20"/>
      <w:szCs w:val="20"/>
      <w:lang w:val="x-none"/>
      <w14:ligatures w14:val="none"/>
    </w:rPr>
  </w:style>
  <w:style w:type="character" w:customStyle="1" w:styleId="Heading2Char">
    <w:name w:val="Heading 2 Char"/>
    <w:basedOn w:val="DefaultParagraphFont"/>
    <w:link w:val="Heading2"/>
    <w:uiPriority w:val="99"/>
    <w:rsid w:val="00563AC4"/>
    <w:rPr>
      <w:rFonts w:ascii="Verdana" w:eastAsia="Calibri" w:hAnsi="Verdana" w:cs="Times New Roman"/>
      <w:kern w:val="0"/>
      <w:sz w:val="20"/>
      <w:szCs w:val="20"/>
      <w14:ligatures w14:val="none"/>
    </w:rPr>
  </w:style>
  <w:style w:type="character" w:customStyle="1" w:styleId="Heading3Char">
    <w:name w:val="Heading 3 Char"/>
    <w:basedOn w:val="DefaultParagraphFont"/>
    <w:link w:val="Heading3"/>
    <w:rsid w:val="00563AC4"/>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563AC4"/>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563AC4"/>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563AC4"/>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563AC4"/>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563AC4"/>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563AC4"/>
    <w:rPr>
      <w:rFonts w:ascii="Times New Roman" w:eastAsia="Times New Roman" w:hAnsi="Times New Roman" w:cs="Times New Roman"/>
      <w:kern w:val="0"/>
      <w:sz w:val="40"/>
      <w:szCs w:val="20"/>
      <w:lang w:eastAsia="lt-LT"/>
      <w14:ligatures w14:val="none"/>
    </w:rPr>
  </w:style>
  <w:style w:type="paragraph" w:styleId="Header">
    <w:name w:val="header"/>
    <w:aliases w:val="Specialioji žyma,En-tête-1,En-tête-2,hd,Header 2"/>
    <w:basedOn w:val="Normal"/>
    <w:link w:val="HeaderChar"/>
    <w:uiPriority w:val="99"/>
    <w:unhideWhenUsed/>
    <w:rsid w:val="00563AC4"/>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uiPriority w:val="99"/>
    <w:rsid w:val="00563AC4"/>
    <w:rPr>
      <w:rFonts w:ascii="Calibri" w:eastAsia="Calibri" w:hAnsi="Calibri" w:cs="Times New Roman"/>
      <w:kern w:val="0"/>
      <w14:ligatures w14:val="none"/>
    </w:rPr>
  </w:style>
  <w:style w:type="paragraph" w:styleId="Footer">
    <w:name w:val="footer"/>
    <w:basedOn w:val="Normal"/>
    <w:link w:val="FooterChar"/>
    <w:uiPriority w:val="99"/>
    <w:unhideWhenUsed/>
    <w:rsid w:val="00563A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563AC4"/>
    <w:rPr>
      <w:rFonts w:ascii="Calibri" w:eastAsia="Calibri" w:hAnsi="Calibri" w:cs="Times New Roman"/>
      <w:kern w:val="0"/>
      <w14:ligatures w14:val="none"/>
    </w:rPr>
  </w:style>
  <w:style w:type="paragraph" w:styleId="ListParagraph">
    <w:name w:val="List Paragraph"/>
    <w:aliases w:val="lp1,Bullet 1,Use Case List Paragraph,Numbering,ERP-List Paragraph,List Paragraph11,List Paragraph111,Bullet EY,Sąrašo pastraipa.Bullet,Sąrašo pastraipa;Bullet,Table of contents numbered,List not in Table,List Paragraph Red,Buletai,Lentele"/>
    <w:basedOn w:val="Normal"/>
    <w:link w:val="ListParagraphChar"/>
    <w:uiPriority w:val="34"/>
    <w:qFormat/>
    <w:rsid w:val="00563AC4"/>
    <w:pPr>
      <w:ind w:left="1296"/>
    </w:pPr>
  </w:style>
  <w:style w:type="character" w:styleId="FootnoteReference">
    <w:name w:val="footnote reference"/>
    <w:unhideWhenUsed/>
    <w:rsid w:val="00563AC4"/>
    <w:rPr>
      <w:vertAlign w:val="superscript"/>
    </w:rPr>
  </w:style>
  <w:style w:type="table" w:styleId="TableGrid">
    <w:name w:val="Table Grid"/>
    <w:basedOn w:val="TableNormal"/>
    <w:uiPriority w:val="59"/>
    <w:rsid w:val="00563AC4"/>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563AC4"/>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563AC4"/>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563AC4"/>
    <w:rPr>
      <w:i/>
      <w:iCs/>
    </w:rPr>
  </w:style>
  <w:style w:type="character" w:customStyle="1" w:styleId="ListParagraphChar">
    <w:name w:val="List Paragraph Char"/>
    <w:aliases w:val="lp1 Char,Bullet 1 Char,Use Case List Paragraph Char,Numbering Char,ERP-List Paragraph Char,List Paragraph11 Char,List Paragraph111 Char,Bullet EY Char,Sąrašo pastraipa.Bullet Char,Sąrašo pastraipa;Bullet Char,List not in Table Char"/>
    <w:link w:val="ListParagraph"/>
    <w:uiPriority w:val="34"/>
    <w:qFormat/>
    <w:locked/>
    <w:rsid w:val="00563AC4"/>
    <w:rPr>
      <w:rFonts w:ascii="Calibri" w:eastAsia="Calibri" w:hAnsi="Calibri" w:cs="Times New Roman"/>
      <w:kern w:val="0"/>
      <w14:ligatures w14:val="none"/>
    </w:rPr>
  </w:style>
  <w:style w:type="character" w:styleId="CommentReference">
    <w:name w:val="annotation reference"/>
    <w:basedOn w:val="DefaultParagraphFont"/>
    <w:uiPriority w:val="99"/>
    <w:unhideWhenUsed/>
    <w:rsid w:val="00563AC4"/>
    <w:rPr>
      <w:sz w:val="16"/>
      <w:szCs w:val="16"/>
    </w:rPr>
  </w:style>
  <w:style w:type="paragraph" w:styleId="CommentText">
    <w:name w:val="annotation text"/>
    <w:basedOn w:val="Normal"/>
    <w:link w:val="CommentTextChar"/>
    <w:uiPriority w:val="99"/>
    <w:unhideWhenUsed/>
    <w:rsid w:val="00563AC4"/>
    <w:pPr>
      <w:spacing w:line="240" w:lineRule="auto"/>
    </w:pPr>
    <w:rPr>
      <w:sz w:val="20"/>
      <w:szCs w:val="20"/>
    </w:rPr>
  </w:style>
  <w:style w:type="character" w:customStyle="1" w:styleId="CommentTextChar">
    <w:name w:val="Comment Text Char"/>
    <w:basedOn w:val="DefaultParagraphFont"/>
    <w:link w:val="CommentText"/>
    <w:uiPriority w:val="99"/>
    <w:rsid w:val="00563AC4"/>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3AC4"/>
    <w:rPr>
      <w:b/>
      <w:bCs/>
    </w:rPr>
  </w:style>
  <w:style w:type="character" w:customStyle="1" w:styleId="CommentSubjectChar">
    <w:name w:val="Comment Subject Char"/>
    <w:basedOn w:val="CommentTextChar"/>
    <w:link w:val="CommentSubject"/>
    <w:uiPriority w:val="99"/>
    <w:semiHidden/>
    <w:rsid w:val="00563AC4"/>
    <w:rPr>
      <w:rFonts w:ascii="Calibri" w:eastAsia="Calibri" w:hAnsi="Calibri" w:cs="Times New Roman"/>
      <w:b/>
      <w:bCs/>
      <w:kern w:val="0"/>
      <w:sz w:val="20"/>
      <w:szCs w:val="20"/>
      <w14:ligatures w14:val="none"/>
    </w:rPr>
  </w:style>
  <w:style w:type="character" w:styleId="PlaceholderText">
    <w:name w:val="Placeholder Text"/>
    <w:basedOn w:val="DefaultParagraphFont"/>
    <w:uiPriority w:val="99"/>
    <w:semiHidden/>
    <w:rsid w:val="00563AC4"/>
    <w:rPr>
      <w:color w:val="808080"/>
    </w:rPr>
  </w:style>
  <w:style w:type="paragraph" w:styleId="BalloonText">
    <w:name w:val="Balloon Text"/>
    <w:basedOn w:val="Normal"/>
    <w:link w:val="BalloonTextChar"/>
    <w:uiPriority w:val="99"/>
    <w:semiHidden/>
    <w:unhideWhenUsed/>
    <w:rsid w:val="00563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AC4"/>
    <w:rPr>
      <w:rFonts w:ascii="Tahoma" w:eastAsia="Calibri" w:hAnsi="Tahoma" w:cs="Tahoma"/>
      <w:kern w:val="0"/>
      <w:sz w:val="16"/>
      <w:szCs w:val="16"/>
      <w14:ligatures w14:val="none"/>
    </w:rPr>
  </w:style>
  <w:style w:type="character" w:styleId="Hyperlink">
    <w:name w:val="Hyperlink"/>
    <w:basedOn w:val="DefaultParagraphFont"/>
    <w:unhideWhenUsed/>
    <w:rsid w:val="00563AC4"/>
    <w:rPr>
      <w:color w:val="0563C1" w:themeColor="hyperlink"/>
      <w:u w:val="single"/>
    </w:rPr>
  </w:style>
  <w:style w:type="numbering" w:customStyle="1" w:styleId="NoList1">
    <w:name w:val="No List1"/>
    <w:next w:val="NoList"/>
    <w:uiPriority w:val="99"/>
    <w:semiHidden/>
    <w:unhideWhenUsed/>
    <w:rsid w:val="00563AC4"/>
  </w:style>
  <w:style w:type="numbering" w:customStyle="1" w:styleId="NoList11">
    <w:name w:val="No List11"/>
    <w:next w:val="NoList"/>
    <w:uiPriority w:val="99"/>
    <w:semiHidden/>
    <w:unhideWhenUsed/>
    <w:rsid w:val="00563AC4"/>
  </w:style>
  <w:style w:type="numbering" w:customStyle="1" w:styleId="NoList111">
    <w:name w:val="No List111"/>
    <w:next w:val="NoList"/>
    <w:uiPriority w:val="99"/>
    <w:semiHidden/>
    <w:unhideWhenUsed/>
    <w:rsid w:val="00563AC4"/>
  </w:style>
  <w:style w:type="paragraph" w:styleId="Title">
    <w:name w:val="Title"/>
    <w:basedOn w:val="Normal"/>
    <w:next w:val="Normal"/>
    <w:link w:val="TitleChar"/>
    <w:uiPriority w:val="10"/>
    <w:qFormat/>
    <w:rsid w:val="00563AC4"/>
    <w:pPr>
      <w:widowControl w:val="0"/>
      <w:tabs>
        <w:tab w:val="right" w:leader="underscore" w:pos="9071"/>
      </w:tabs>
      <w:spacing w:after="0" w:line="240" w:lineRule="auto"/>
      <w:jc w:val="center"/>
      <w:outlineLvl w:val="0"/>
    </w:pPr>
    <w:rPr>
      <w:rFonts w:ascii="Verdana" w:hAnsi="Verdana"/>
      <w:b/>
      <w:sz w:val="20"/>
      <w:szCs w:val="20"/>
    </w:rPr>
  </w:style>
  <w:style w:type="character" w:customStyle="1" w:styleId="TitleChar">
    <w:name w:val="Title Char"/>
    <w:basedOn w:val="DefaultParagraphFont"/>
    <w:link w:val="Title"/>
    <w:uiPriority w:val="10"/>
    <w:rsid w:val="00563AC4"/>
    <w:rPr>
      <w:rFonts w:ascii="Verdana" w:eastAsia="Calibri" w:hAnsi="Verdana" w:cs="Times New Roman"/>
      <w:b/>
      <w:kern w:val="0"/>
      <w:sz w:val="20"/>
      <w:szCs w:val="20"/>
      <w14:ligatures w14:val="none"/>
    </w:rPr>
  </w:style>
  <w:style w:type="paragraph" w:styleId="Revision">
    <w:name w:val="Revision"/>
    <w:hidden/>
    <w:semiHidden/>
    <w:rsid w:val="00563AC4"/>
    <w:pPr>
      <w:spacing w:after="0" w:line="240" w:lineRule="auto"/>
    </w:pPr>
    <w:rPr>
      <w:rFonts w:ascii="Calibri" w:eastAsia="Calibri" w:hAnsi="Calibri" w:cs="Times New Roman"/>
      <w:kern w:val="0"/>
      <w14:ligatures w14:val="none"/>
    </w:rPr>
  </w:style>
  <w:style w:type="paragraph" w:styleId="NoSpacing">
    <w:name w:val="No Spacing"/>
    <w:uiPriority w:val="1"/>
    <w:qFormat/>
    <w:rsid w:val="00563AC4"/>
    <w:pPr>
      <w:spacing w:after="0" w:line="240" w:lineRule="auto"/>
    </w:pPr>
    <w:rPr>
      <w:rFonts w:ascii="Calibri" w:eastAsia="Calibri" w:hAnsi="Calibri" w:cs="Times New Roman"/>
      <w:kern w:val="0"/>
      <w14:ligatures w14:val="none"/>
    </w:rPr>
  </w:style>
  <w:style w:type="paragraph" w:customStyle="1" w:styleId="Default">
    <w:name w:val="Default"/>
    <w:rsid w:val="00563AC4"/>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numbering" w:customStyle="1" w:styleId="NoList2">
    <w:name w:val="No List2"/>
    <w:next w:val="NoList"/>
    <w:uiPriority w:val="99"/>
    <w:semiHidden/>
    <w:unhideWhenUsed/>
    <w:rsid w:val="00563AC4"/>
  </w:style>
  <w:style w:type="character" w:customStyle="1" w:styleId="FontStyle13">
    <w:name w:val="Font Style13"/>
    <w:rsid w:val="00563AC4"/>
    <w:rPr>
      <w:rFonts w:ascii="Times New Roman" w:hAnsi="Times New Roman" w:cs="Times New Roman"/>
      <w:b/>
      <w:bCs/>
      <w:sz w:val="20"/>
      <w:szCs w:val="20"/>
    </w:rPr>
  </w:style>
  <w:style w:type="paragraph" w:customStyle="1" w:styleId="Style2">
    <w:name w:val="Style2"/>
    <w:basedOn w:val="Normal"/>
    <w:rsid w:val="00563AC4"/>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11">
    <w:name w:val="Font Style11"/>
    <w:rsid w:val="00563AC4"/>
    <w:rPr>
      <w:rFonts w:ascii="Times New Roman" w:hAnsi="Times New Roman" w:cs="Times New Roman"/>
      <w:b/>
      <w:bCs/>
      <w:sz w:val="20"/>
      <w:szCs w:val="20"/>
    </w:rPr>
  </w:style>
  <w:style w:type="paragraph" w:customStyle="1" w:styleId="Style3">
    <w:name w:val="Style3"/>
    <w:basedOn w:val="Normal"/>
    <w:rsid w:val="00563AC4"/>
    <w:pPr>
      <w:widowControl w:val="0"/>
      <w:autoSpaceDE w:val="0"/>
      <w:autoSpaceDN w:val="0"/>
      <w:adjustRightInd w:val="0"/>
      <w:spacing w:after="0" w:line="365" w:lineRule="atLeast"/>
      <w:jc w:val="center"/>
    </w:pPr>
    <w:rPr>
      <w:rFonts w:ascii="Times New Roman" w:eastAsia="Times New Roman" w:hAnsi="Times New Roman"/>
      <w:sz w:val="24"/>
      <w:szCs w:val="24"/>
      <w:lang w:eastAsia="lt-LT"/>
    </w:rPr>
  </w:style>
  <w:style w:type="paragraph" w:customStyle="1" w:styleId="Style4">
    <w:name w:val="Style4"/>
    <w:basedOn w:val="Normal"/>
    <w:rsid w:val="00563AC4"/>
    <w:pPr>
      <w:widowControl w:val="0"/>
      <w:autoSpaceDE w:val="0"/>
      <w:autoSpaceDN w:val="0"/>
      <w:adjustRightInd w:val="0"/>
      <w:spacing w:after="0" w:line="243" w:lineRule="atLeast"/>
      <w:jc w:val="both"/>
    </w:pPr>
    <w:rPr>
      <w:rFonts w:ascii="Times New Roman" w:eastAsia="Times New Roman" w:hAnsi="Times New Roman"/>
      <w:sz w:val="24"/>
      <w:szCs w:val="24"/>
      <w:lang w:eastAsia="lt-LT"/>
    </w:rPr>
  </w:style>
  <w:style w:type="paragraph" w:customStyle="1" w:styleId="Style6">
    <w:name w:val="Style6"/>
    <w:basedOn w:val="Normal"/>
    <w:rsid w:val="00563AC4"/>
    <w:pPr>
      <w:widowControl w:val="0"/>
      <w:autoSpaceDE w:val="0"/>
      <w:autoSpaceDN w:val="0"/>
      <w:adjustRightInd w:val="0"/>
      <w:spacing w:after="0" w:line="235" w:lineRule="atLeast"/>
    </w:pPr>
    <w:rPr>
      <w:rFonts w:ascii="Times New Roman" w:eastAsia="Times New Roman" w:hAnsi="Times New Roman"/>
      <w:sz w:val="24"/>
      <w:szCs w:val="24"/>
      <w:lang w:eastAsia="lt-LT"/>
    </w:rPr>
  </w:style>
  <w:style w:type="paragraph" w:customStyle="1" w:styleId="Style5">
    <w:name w:val="Style5"/>
    <w:basedOn w:val="Normal"/>
    <w:rsid w:val="00563AC4"/>
    <w:pPr>
      <w:widowControl w:val="0"/>
      <w:autoSpaceDE w:val="0"/>
      <w:autoSpaceDN w:val="0"/>
      <w:adjustRightInd w:val="0"/>
      <w:spacing w:after="0" w:line="245" w:lineRule="atLeast"/>
      <w:jc w:val="both"/>
    </w:pPr>
    <w:rPr>
      <w:rFonts w:ascii="Times New Roman" w:eastAsia="Times New Roman" w:hAnsi="Times New Roman"/>
      <w:sz w:val="24"/>
      <w:szCs w:val="24"/>
      <w:lang w:eastAsia="lt-LT"/>
    </w:rPr>
  </w:style>
  <w:style w:type="character" w:customStyle="1" w:styleId="FontStyle12">
    <w:name w:val="Font Style12"/>
    <w:rsid w:val="00563AC4"/>
    <w:rPr>
      <w:rFonts w:ascii="Times New Roman" w:hAnsi="Times New Roman" w:cs="Times New Roman"/>
      <w:sz w:val="20"/>
      <w:szCs w:val="20"/>
    </w:rPr>
  </w:style>
  <w:style w:type="paragraph" w:customStyle="1" w:styleId="Style7">
    <w:name w:val="Style7"/>
    <w:basedOn w:val="Normal"/>
    <w:rsid w:val="00563AC4"/>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8">
    <w:name w:val="Style8"/>
    <w:basedOn w:val="Normal"/>
    <w:rsid w:val="00563AC4"/>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1">
    <w:name w:val="Style1"/>
    <w:basedOn w:val="Normal"/>
    <w:qFormat/>
    <w:rsid w:val="00563AC4"/>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styleId="BodyText2">
    <w:name w:val="Body Text 2"/>
    <w:basedOn w:val="Normal"/>
    <w:link w:val="BodyText2Char"/>
    <w:semiHidden/>
    <w:rsid w:val="00563AC4"/>
    <w:pPr>
      <w:tabs>
        <w:tab w:val="left" w:pos="1335"/>
      </w:tabs>
      <w:spacing w:after="0" w:line="240" w:lineRule="auto"/>
      <w:jc w:val="both"/>
    </w:pPr>
    <w:rPr>
      <w:rFonts w:ascii="Times New Roman" w:eastAsia="Times New Roman" w:hAnsi="Times New Roman"/>
      <w:sz w:val="24"/>
      <w:szCs w:val="24"/>
      <w:lang w:val="x-none"/>
    </w:rPr>
  </w:style>
  <w:style w:type="character" w:customStyle="1" w:styleId="BodyText2Char">
    <w:name w:val="Body Text 2 Char"/>
    <w:basedOn w:val="DefaultParagraphFont"/>
    <w:link w:val="BodyText2"/>
    <w:semiHidden/>
    <w:rsid w:val="00563AC4"/>
    <w:rPr>
      <w:rFonts w:ascii="Times New Roman" w:eastAsia="Times New Roman" w:hAnsi="Times New Roman" w:cs="Times New Roman"/>
      <w:kern w:val="0"/>
      <w:sz w:val="24"/>
      <w:szCs w:val="24"/>
      <w:lang w:val="x-none"/>
      <w14:ligatures w14:val="none"/>
    </w:rPr>
  </w:style>
  <w:style w:type="paragraph" w:styleId="BodyText">
    <w:name w:val="Body Text"/>
    <w:basedOn w:val="Normal"/>
    <w:link w:val="BodyTextChar"/>
    <w:semiHidden/>
    <w:rsid w:val="00563AC4"/>
    <w:pPr>
      <w:spacing w:after="0" w:line="240" w:lineRule="auto"/>
      <w:jc w:val="center"/>
    </w:pPr>
    <w:rPr>
      <w:rFonts w:ascii="Times New Roman" w:eastAsia="Times New Roman" w:hAnsi="Times New Roman"/>
      <w:sz w:val="24"/>
      <w:szCs w:val="24"/>
      <w:lang w:val="x-none"/>
    </w:rPr>
  </w:style>
  <w:style w:type="character" w:customStyle="1" w:styleId="BodyTextChar">
    <w:name w:val="Body Text Char"/>
    <w:basedOn w:val="DefaultParagraphFont"/>
    <w:link w:val="BodyText"/>
    <w:semiHidden/>
    <w:rsid w:val="00563AC4"/>
    <w:rPr>
      <w:rFonts w:ascii="Times New Roman" w:eastAsia="Times New Roman" w:hAnsi="Times New Roman" w:cs="Times New Roman"/>
      <w:kern w:val="0"/>
      <w:sz w:val="24"/>
      <w:szCs w:val="24"/>
      <w:lang w:val="x-none"/>
      <w14:ligatures w14:val="none"/>
    </w:rPr>
  </w:style>
  <w:style w:type="paragraph" w:styleId="BodyTextIndent3">
    <w:name w:val="Body Text Indent 3"/>
    <w:basedOn w:val="Normal"/>
    <w:link w:val="BodyTextIndent3Char"/>
    <w:uiPriority w:val="99"/>
    <w:semiHidden/>
    <w:unhideWhenUsed/>
    <w:rsid w:val="00563AC4"/>
    <w:pPr>
      <w:spacing w:after="120" w:line="240" w:lineRule="auto"/>
      <w:ind w:left="283"/>
    </w:pPr>
    <w:rPr>
      <w:rFonts w:ascii="Times New Roman" w:eastAsia="Times New Roman" w:hAnsi="Times New Roman"/>
      <w:sz w:val="16"/>
      <w:szCs w:val="16"/>
      <w:lang w:val="x-none"/>
    </w:rPr>
  </w:style>
  <w:style w:type="character" w:customStyle="1" w:styleId="BodyTextIndent3Char">
    <w:name w:val="Body Text Indent 3 Char"/>
    <w:basedOn w:val="DefaultParagraphFont"/>
    <w:link w:val="BodyTextIndent3"/>
    <w:uiPriority w:val="99"/>
    <w:semiHidden/>
    <w:rsid w:val="00563AC4"/>
    <w:rPr>
      <w:rFonts w:ascii="Times New Roman" w:eastAsia="Times New Roman" w:hAnsi="Times New Roman" w:cs="Times New Roman"/>
      <w:kern w:val="0"/>
      <w:sz w:val="16"/>
      <w:szCs w:val="16"/>
      <w:lang w:val="x-none"/>
      <w14:ligatures w14:val="none"/>
    </w:rPr>
  </w:style>
  <w:style w:type="character" w:customStyle="1" w:styleId="normal-h">
    <w:name w:val="normal-h"/>
    <w:rsid w:val="00563AC4"/>
  </w:style>
  <w:style w:type="character" w:styleId="PageNumber">
    <w:name w:val="page number"/>
    <w:uiPriority w:val="99"/>
    <w:rsid w:val="00563AC4"/>
    <w:rPr>
      <w:rFonts w:cs="Times New Roman"/>
    </w:rPr>
  </w:style>
  <w:style w:type="character" w:customStyle="1" w:styleId="FontStyle67">
    <w:name w:val="Font Style67"/>
    <w:rsid w:val="00563AC4"/>
    <w:rPr>
      <w:rFonts w:ascii="Times New Roman" w:hAnsi="Times New Roman" w:cs="Times New Roman"/>
      <w:sz w:val="22"/>
      <w:szCs w:val="22"/>
    </w:rPr>
  </w:style>
  <w:style w:type="paragraph" w:customStyle="1" w:styleId="prastasis1">
    <w:name w:val="Įprastasis1"/>
    <w:rsid w:val="00563AC4"/>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WW8Num21z0">
    <w:name w:val="WW8Num21z0"/>
    <w:rsid w:val="00563AC4"/>
    <w:rPr>
      <w:rFonts w:cs="Times New Roman"/>
    </w:rPr>
  </w:style>
  <w:style w:type="character" w:customStyle="1" w:styleId="Stilius10">
    <w:name w:val="Stilius10"/>
    <w:uiPriority w:val="1"/>
    <w:rsid w:val="00563AC4"/>
    <w:rPr>
      <w:rFonts w:ascii="Times New Roman" w:hAnsi="Times New Roman"/>
      <w:b/>
      <w:sz w:val="22"/>
    </w:rPr>
  </w:style>
  <w:style w:type="character" w:customStyle="1" w:styleId="Stilius24">
    <w:name w:val="Stilius24"/>
    <w:uiPriority w:val="1"/>
    <w:rsid w:val="00563AC4"/>
    <w:rPr>
      <w:rFonts w:ascii="Palatino Linotype" w:hAnsi="Palatino Linotype"/>
      <w:sz w:val="22"/>
    </w:rPr>
  </w:style>
  <w:style w:type="character" w:customStyle="1" w:styleId="Stilius25">
    <w:name w:val="Stilius25"/>
    <w:uiPriority w:val="1"/>
    <w:rsid w:val="00563AC4"/>
    <w:rPr>
      <w:rFonts w:ascii="Palatino Linotype" w:hAnsi="Palatino Linotype"/>
      <w:sz w:val="22"/>
    </w:rPr>
  </w:style>
  <w:style w:type="character" w:customStyle="1" w:styleId="Stilius26">
    <w:name w:val="Stilius26"/>
    <w:uiPriority w:val="1"/>
    <w:rsid w:val="00563AC4"/>
    <w:rPr>
      <w:rFonts w:ascii="Palatino Linotype" w:hAnsi="Palatino Linotype"/>
      <w:sz w:val="22"/>
    </w:rPr>
  </w:style>
  <w:style w:type="character" w:customStyle="1" w:styleId="Palatino">
    <w:name w:val="Palatino"/>
    <w:uiPriority w:val="1"/>
    <w:qFormat/>
    <w:rsid w:val="00563AC4"/>
    <w:rPr>
      <w:rFonts w:ascii="Palatino Linotype" w:hAnsi="Palatino Linotype"/>
      <w:sz w:val="22"/>
    </w:rPr>
  </w:style>
  <w:style w:type="character" w:customStyle="1" w:styleId="Palatinobold">
    <w:name w:val="Palatino bold"/>
    <w:uiPriority w:val="1"/>
    <w:qFormat/>
    <w:rsid w:val="00563AC4"/>
    <w:rPr>
      <w:rFonts w:ascii="Palatino Linotype" w:hAnsi="Palatino Linotype"/>
      <w:b/>
      <w:sz w:val="22"/>
    </w:rPr>
  </w:style>
  <w:style w:type="character" w:styleId="FollowedHyperlink">
    <w:name w:val="FollowedHyperlink"/>
    <w:uiPriority w:val="99"/>
    <w:semiHidden/>
    <w:unhideWhenUsed/>
    <w:rsid w:val="00563AC4"/>
    <w:rPr>
      <w:color w:val="800080"/>
      <w:u w:val="single"/>
    </w:rPr>
  </w:style>
  <w:style w:type="paragraph" w:customStyle="1" w:styleId="Normall">
    <w:name w:val="Normal_l"/>
    <w:basedOn w:val="Normal"/>
    <w:rsid w:val="00563AC4"/>
    <w:pPr>
      <w:spacing w:after="0" w:line="240" w:lineRule="auto"/>
    </w:pPr>
    <w:rPr>
      <w:rFonts w:ascii="TimesLT" w:eastAsia="Times New Roman" w:hAnsi="TimesLT"/>
      <w:sz w:val="20"/>
      <w:szCs w:val="20"/>
      <w:lang w:val="en-GB"/>
    </w:rPr>
  </w:style>
  <w:style w:type="paragraph" w:styleId="BodyTextIndent">
    <w:name w:val="Body Text Indent"/>
    <w:basedOn w:val="Normal"/>
    <w:link w:val="BodyTextIndentChar"/>
    <w:uiPriority w:val="99"/>
    <w:semiHidden/>
    <w:unhideWhenUsed/>
    <w:rsid w:val="00563AC4"/>
    <w:pPr>
      <w:spacing w:after="120"/>
      <w:ind w:left="283"/>
    </w:pPr>
    <w:rPr>
      <w:rFonts w:ascii="Times New Roman" w:hAnsi="Times New Roman"/>
      <w:sz w:val="24"/>
      <w:szCs w:val="20"/>
      <w:lang w:val="x-none" w:eastAsia="x-none"/>
    </w:rPr>
  </w:style>
  <w:style w:type="character" w:customStyle="1" w:styleId="BodyTextIndentChar">
    <w:name w:val="Body Text Indent Char"/>
    <w:basedOn w:val="DefaultParagraphFont"/>
    <w:link w:val="BodyTextIndent"/>
    <w:uiPriority w:val="99"/>
    <w:semiHidden/>
    <w:rsid w:val="00563AC4"/>
    <w:rPr>
      <w:rFonts w:ascii="Times New Roman" w:eastAsia="Calibri" w:hAnsi="Times New Roman" w:cs="Times New Roman"/>
      <w:kern w:val="0"/>
      <w:sz w:val="24"/>
      <w:szCs w:val="20"/>
      <w:lang w:val="x-none" w:eastAsia="x-none"/>
      <w14:ligatures w14:val="none"/>
    </w:rPr>
  </w:style>
  <w:style w:type="paragraph" w:styleId="EndnoteText">
    <w:name w:val="endnote text"/>
    <w:basedOn w:val="Normal"/>
    <w:link w:val="EndnoteTextChar"/>
    <w:uiPriority w:val="99"/>
    <w:semiHidden/>
    <w:unhideWhenUsed/>
    <w:rsid w:val="00563AC4"/>
    <w:rPr>
      <w:rFonts w:ascii="Times New Roman" w:hAnsi="Times New Roman"/>
      <w:sz w:val="20"/>
      <w:szCs w:val="20"/>
      <w:lang w:eastAsia="lt-LT"/>
    </w:rPr>
  </w:style>
  <w:style w:type="character" w:customStyle="1" w:styleId="EndnoteTextChar">
    <w:name w:val="Endnote Text Char"/>
    <w:basedOn w:val="DefaultParagraphFont"/>
    <w:link w:val="EndnoteText"/>
    <w:uiPriority w:val="99"/>
    <w:semiHidden/>
    <w:rsid w:val="00563AC4"/>
    <w:rPr>
      <w:rFonts w:ascii="Times New Roman" w:eastAsia="Calibri" w:hAnsi="Times New Roman" w:cs="Times New Roman"/>
      <w:kern w:val="0"/>
      <w:sz w:val="20"/>
      <w:szCs w:val="20"/>
      <w:lang w:eastAsia="lt-LT"/>
      <w14:ligatures w14:val="none"/>
    </w:rPr>
  </w:style>
  <w:style w:type="character" w:styleId="EndnoteReference">
    <w:name w:val="endnote reference"/>
    <w:uiPriority w:val="99"/>
    <w:semiHidden/>
    <w:unhideWhenUsed/>
    <w:rsid w:val="00563AC4"/>
    <w:rPr>
      <w:vertAlign w:val="superscript"/>
    </w:rPr>
  </w:style>
  <w:style w:type="character" w:customStyle="1" w:styleId="FontStyle15">
    <w:name w:val="Font Style15"/>
    <w:uiPriority w:val="99"/>
    <w:rsid w:val="00563AC4"/>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563AC4"/>
    <w:pPr>
      <w:keepLines/>
      <w:numPr>
        <w:numId w:val="0"/>
      </w:numPr>
      <w:spacing w:before="480" w:line="276" w:lineRule="auto"/>
      <w:jc w:val="left"/>
      <w:outlineLvl w:val="9"/>
    </w:pPr>
    <w:rPr>
      <w:rFonts w:ascii="Cambria" w:eastAsia="MS Gothic" w:hAnsi="Cambria"/>
      <w:b w:val="0"/>
      <w:bCs/>
      <w:color w:val="365F91"/>
      <w:szCs w:val="28"/>
      <w:lang w:val="en-US" w:eastAsia="ja-JP"/>
    </w:rPr>
  </w:style>
  <w:style w:type="paragraph" w:styleId="TOC1">
    <w:name w:val="toc 1"/>
    <w:basedOn w:val="Normal"/>
    <w:next w:val="Normal"/>
    <w:autoRedefine/>
    <w:uiPriority w:val="39"/>
    <w:unhideWhenUsed/>
    <w:rsid w:val="00563AC4"/>
    <w:rPr>
      <w:rFonts w:ascii="Times New Roman" w:hAnsi="Times New Roman"/>
      <w:sz w:val="24"/>
      <w:szCs w:val="20"/>
      <w:lang w:eastAsia="lt-LT"/>
    </w:rPr>
  </w:style>
  <w:style w:type="paragraph" w:styleId="TOC3">
    <w:name w:val="toc 3"/>
    <w:basedOn w:val="Normal"/>
    <w:next w:val="Normal"/>
    <w:autoRedefine/>
    <w:uiPriority w:val="39"/>
    <w:unhideWhenUsed/>
    <w:rsid w:val="00563AC4"/>
    <w:pPr>
      <w:ind w:left="480"/>
    </w:pPr>
    <w:rPr>
      <w:rFonts w:ascii="Times New Roman" w:hAnsi="Times New Roman"/>
      <w:sz w:val="24"/>
      <w:szCs w:val="20"/>
      <w:lang w:eastAsia="lt-LT"/>
    </w:rPr>
  </w:style>
  <w:style w:type="paragraph" w:styleId="TOC2">
    <w:name w:val="toc 2"/>
    <w:basedOn w:val="Normal"/>
    <w:next w:val="Normal"/>
    <w:autoRedefine/>
    <w:uiPriority w:val="39"/>
    <w:unhideWhenUsed/>
    <w:rsid w:val="00563AC4"/>
    <w:pPr>
      <w:ind w:left="240"/>
    </w:pPr>
    <w:rPr>
      <w:rFonts w:ascii="Times New Roman" w:hAnsi="Times New Roman"/>
      <w:sz w:val="24"/>
      <w:szCs w:val="20"/>
      <w:lang w:eastAsia="lt-LT"/>
    </w:rPr>
  </w:style>
  <w:style w:type="paragraph" w:customStyle="1" w:styleId="Style9">
    <w:name w:val="Style9"/>
    <w:basedOn w:val="Heading1"/>
    <w:link w:val="Style9Char"/>
    <w:qFormat/>
    <w:rsid w:val="00563AC4"/>
    <w:pPr>
      <w:numPr>
        <w:numId w:val="0"/>
      </w:numPr>
      <w:ind w:left="720"/>
    </w:pPr>
    <w:rPr>
      <w:b w:val="0"/>
    </w:rPr>
  </w:style>
  <w:style w:type="paragraph" w:customStyle="1" w:styleId="WW-TableContents11111111111111111111111111111111111111111111111111111111">
    <w:name w:val="WW-Table Contents11111111111111111111111111111111111111111111111111111111"/>
    <w:basedOn w:val="BodyText"/>
    <w:rsid w:val="00563AC4"/>
    <w:pPr>
      <w:suppressLineNumbers/>
      <w:suppressAutoHyphens/>
      <w:jc w:val="both"/>
    </w:pPr>
    <w:rPr>
      <w:szCs w:val="20"/>
      <w:lang w:val="lt-LT" w:eastAsia="ar-SA"/>
    </w:rPr>
  </w:style>
  <w:style w:type="character" w:customStyle="1" w:styleId="Style9Char">
    <w:name w:val="Style9 Char"/>
    <w:link w:val="Style9"/>
    <w:rsid w:val="00563AC4"/>
    <w:rPr>
      <w:rFonts w:ascii="Verdana" w:eastAsia="Calibri" w:hAnsi="Verdana" w:cs="Times New Roman"/>
      <w:caps/>
      <w:kern w:val="0"/>
      <w:sz w:val="20"/>
      <w:szCs w:val="20"/>
      <w:lang w:val="x-none"/>
      <w14:ligatures w14:val="none"/>
    </w:rPr>
  </w:style>
  <w:style w:type="paragraph" w:styleId="NormalWeb">
    <w:name w:val="Normal (Web)"/>
    <w:basedOn w:val="Normal"/>
    <w:uiPriority w:val="99"/>
    <w:unhideWhenUsed/>
    <w:rsid w:val="00563AC4"/>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bleText">
    <w:name w:val="Table Text"/>
    <w:rsid w:val="00563AC4"/>
    <w:pPr>
      <w:spacing w:before="20" w:after="20" w:line="240" w:lineRule="auto"/>
    </w:pPr>
    <w:rPr>
      <w:rFonts w:ascii="Arial" w:eastAsia="Times New Roman" w:hAnsi="Arial" w:cs="Times New Roman"/>
      <w:kern w:val="0"/>
      <w:sz w:val="16"/>
      <w:szCs w:val="20"/>
      <w:lang w:eastAsia="lt-LT"/>
      <w14:ligatures w14:val="none"/>
    </w:rPr>
  </w:style>
  <w:style w:type="numbering" w:customStyle="1" w:styleId="NoList3">
    <w:name w:val="No List3"/>
    <w:next w:val="NoList"/>
    <w:uiPriority w:val="99"/>
    <w:semiHidden/>
    <w:unhideWhenUsed/>
    <w:rsid w:val="00563AC4"/>
  </w:style>
  <w:style w:type="character" w:customStyle="1" w:styleId="UnresolvedMention1">
    <w:name w:val="Unresolved Mention1"/>
    <w:basedOn w:val="DefaultParagraphFont"/>
    <w:uiPriority w:val="99"/>
    <w:semiHidden/>
    <w:unhideWhenUsed/>
    <w:rsid w:val="00563AC4"/>
    <w:rPr>
      <w:color w:val="605E5C"/>
      <w:shd w:val="clear" w:color="auto" w:fill="E1DFDD"/>
    </w:rPr>
  </w:style>
  <w:style w:type="paragraph" w:customStyle="1" w:styleId="istatymas">
    <w:name w:val="istatymas"/>
    <w:basedOn w:val="Normal"/>
    <w:rsid w:val="00563AC4"/>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563AC4"/>
    <w:pPr>
      <w:spacing w:after="150" w:line="240" w:lineRule="auto"/>
    </w:pPr>
    <w:rPr>
      <w:rFonts w:ascii="Times New Roman" w:eastAsiaTheme="minorHAnsi" w:hAnsi="Times New Roman"/>
      <w:sz w:val="24"/>
      <w:szCs w:val="24"/>
      <w:lang w:val="en-US"/>
    </w:rPr>
  </w:style>
  <w:style w:type="character" w:customStyle="1" w:styleId="MSGENFONTSTYLENAMETEMPLATEROLENUMBERMSGENFONTSTYLENAMEBYROLETEXT2">
    <w:name w:val="MSG_EN_FONT_STYLE_NAME_TEMPLATE_ROLE_NUMBER MSG_EN_FONT_STYLE_NAME_BY_ROLE_TEXT 2"/>
    <w:basedOn w:val="DefaultParagraphFont"/>
    <w:rsid w:val="00563AC4"/>
    <w:rPr>
      <w:rFonts w:ascii="Times New Roman" w:eastAsia="Times New Roman" w:hAnsi="Times New Roman" w:cs="Times New Roman" w:hint="default"/>
      <w:b w:val="0"/>
      <w:bCs w:val="0"/>
      <w:i w:val="0"/>
      <w:iCs w:val="0"/>
      <w:smallCaps w:val="0"/>
      <w:strike w:val="0"/>
      <w:dstrike w:val="0"/>
      <w:color w:val="242424"/>
      <w:spacing w:val="0"/>
      <w:w w:val="100"/>
      <w:position w:val="0"/>
      <w:sz w:val="24"/>
      <w:szCs w:val="24"/>
      <w:u w:val="none"/>
      <w:effect w:val="none"/>
      <w:lang w:val="en-US" w:eastAsia="en-US" w:bidi="en-US"/>
    </w:rPr>
  </w:style>
  <w:style w:type="paragraph" w:customStyle="1" w:styleId="Lentelsvidus">
    <w:name w:val="_Lentelės vidus"/>
    <w:basedOn w:val="Normal"/>
    <w:link w:val="LentelsvidusChar"/>
    <w:qFormat/>
    <w:rsid w:val="00563AC4"/>
    <w:pPr>
      <w:spacing w:before="60" w:after="60"/>
    </w:pPr>
    <w:rPr>
      <w:rFonts w:ascii="Times New Roman" w:eastAsia="Times New Roman" w:hAnsi="Times New Roman"/>
      <w:lang w:val="en-US" w:eastAsia="lt-LT"/>
    </w:rPr>
  </w:style>
  <w:style w:type="character" w:customStyle="1" w:styleId="LentelsvidusChar">
    <w:name w:val="_Lentelės vidus Char"/>
    <w:basedOn w:val="DefaultParagraphFont"/>
    <w:link w:val="Lentelsvidus"/>
    <w:rsid w:val="00563AC4"/>
    <w:rPr>
      <w:rFonts w:ascii="Times New Roman" w:eastAsia="Times New Roman" w:hAnsi="Times New Roman" w:cs="Times New Roman"/>
      <w:kern w:val="0"/>
      <w:lang w:val="en-US" w:eastAsia="lt-LT"/>
      <w14:ligatures w14:val="none"/>
    </w:rPr>
  </w:style>
  <w:style w:type="numbering" w:customStyle="1" w:styleId="NoList4">
    <w:name w:val="No List4"/>
    <w:next w:val="NoList"/>
    <w:uiPriority w:val="99"/>
    <w:semiHidden/>
    <w:unhideWhenUsed/>
    <w:rsid w:val="00563AC4"/>
  </w:style>
  <w:style w:type="character" w:customStyle="1" w:styleId="UnresolvedMention2">
    <w:name w:val="Unresolved Mention2"/>
    <w:basedOn w:val="DefaultParagraphFont"/>
    <w:uiPriority w:val="99"/>
    <w:semiHidden/>
    <w:unhideWhenUsed/>
    <w:rsid w:val="00563AC4"/>
    <w:rPr>
      <w:color w:val="605E5C"/>
      <w:shd w:val="clear" w:color="auto" w:fill="E1DFDD"/>
    </w:rPr>
  </w:style>
  <w:style w:type="table" w:customStyle="1" w:styleId="TableGrid1">
    <w:name w:val="Table Grid1"/>
    <w:basedOn w:val="TableNormal"/>
    <w:next w:val="TableGrid"/>
    <w:uiPriority w:val="59"/>
    <w:rsid w:val="00563A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
    <w:name w:val="Pavadinimas"/>
    <w:basedOn w:val="Normal"/>
    <w:link w:val="PavadinimasChar"/>
    <w:autoRedefine/>
    <w:qFormat/>
    <w:rsid w:val="00563AC4"/>
    <w:pPr>
      <w:numPr>
        <w:numId w:val="3"/>
      </w:numPr>
      <w:tabs>
        <w:tab w:val="left" w:pos="709"/>
      </w:tabs>
      <w:suppressAutoHyphens/>
      <w:spacing w:after="0" w:line="240" w:lineRule="auto"/>
      <w:ind w:left="0" w:firstLine="737"/>
      <w:jc w:val="both"/>
    </w:pPr>
    <w:rPr>
      <w:rFonts w:ascii="Verdana" w:eastAsia="Times New Roman" w:hAnsi="Verdana"/>
      <w:sz w:val="20"/>
      <w:szCs w:val="20"/>
      <w:lang w:val="en-US" w:eastAsia="ar-SA"/>
    </w:rPr>
  </w:style>
  <w:style w:type="character" w:customStyle="1" w:styleId="PavadinimasChar">
    <w:name w:val="Pavadinimas Char"/>
    <w:link w:val="Pavadinimas"/>
    <w:rsid w:val="00563AC4"/>
    <w:rPr>
      <w:rFonts w:ascii="Verdana" w:eastAsia="Times New Roman" w:hAnsi="Verdana" w:cs="Times New Roman"/>
      <w:kern w:val="0"/>
      <w:sz w:val="20"/>
      <w:szCs w:val="20"/>
      <w:lang w:val="en-US" w:eastAsia="ar-SA"/>
      <w14:ligatures w14:val="none"/>
    </w:rPr>
  </w:style>
  <w:style w:type="paragraph" w:customStyle="1" w:styleId="Poskyris">
    <w:name w:val="Poskyris"/>
    <w:basedOn w:val="Normal"/>
    <w:autoRedefine/>
    <w:qFormat/>
    <w:rsid w:val="00563AC4"/>
    <w:pPr>
      <w:numPr>
        <w:ilvl w:val="2"/>
        <w:numId w:val="3"/>
      </w:numPr>
      <w:suppressAutoHyphens/>
      <w:spacing w:after="0" w:line="240" w:lineRule="auto"/>
    </w:pPr>
    <w:rPr>
      <w:rFonts w:ascii="Times New Roman" w:eastAsia="Times New Roman" w:hAnsi="Times New Roman"/>
      <w:sz w:val="24"/>
      <w:szCs w:val="24"/>
      <w:lang w:eastAsia="ar-SA"/>
    </w:rPr>
  </w:style>
  <w:style w:type="paragraph" w:customStyle="1" w:styleId="Poskyriotekstas">
    <w:name w:val="Poskyriotekstas"/>
    <w:basedOn w:val="Poskyris"/>
    <w:autoRedefine/>
    <w:qFormat/>
    <w:rsid w:val="00563AC4"/>
    <w:pPr>
      <w:numPr>
        <w:ilvl w:val="3"/>
      </w:numPr>
    </w:pPr>
  </w:style>
  <w:style w:type="paragraph" w:customStyle="1" w:styleId="Skyrelis">
    <w:name w:val="Skyrelis"/>
    <w:basedOn w:val="Pavadinimas"/>
    <w:autoRedefine/>
    <w:qFormat/>
    <w:rsid w:val="00563AC4"/>
    <w:pPr>
      <w:numPr>
        <w:ilvl w:val="1"/>
      </w:numPr>
      <w:tabs>
        <w:tab w:val="clear" w:pos="709"/>
        <w:tab w:val="left" w:pos="0"/>
        <w:tab w:val="num" w:pos="1080"/>
      </w:tabs>
      <w:ind w:left="0" w:firstLine="709"/>
    </w:pPr>
  </w:style>
  <w:style w:type="character" w:customStyle="1" w:styleId="UnresolvedMention3">
    <w:name w:val="Unresolved Mention3"/>
    <w:basedOn w:val="DefaultParagraphFont"/>
    <w:uiPriority w:val="99"/>
    <w:semiHidden/>
    <w:unhideWhenUsed/>
    <w:rsid w:val="00563AC4"/>
    <w:rPr>
      <w:color w:val="605E5C"/>
      <w:shd w:val="clear" w:color="auto" w:fill="E1DFDD"/>
    </w:rPr>
  </w:style>
  <w:style w:type="table" w:customStyle="1" w:styleId="TableGrid2">
    <w:name w:val="Table Grid2"/>
    <w:basedOn w:val="TableNormal"/>
    <w:next w:val="TableGrid"/>
    <w:uiPriority w:val="59"/>
    <w:rsid w:val="00563A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3AC4"/>
  </w:style>
  <w:style w:type="character" w:customStyle="1" w:styleId="UnresolvedMention4">
    <w:name w:val="Unresolved Mention4"/>
    <w:basedOn w:val="DefaultParagraphFont"/>
    <w:uiPriority w:val="99"/>
    <w:semiHidden/>
    <w:unhideWhenUsed/>
    <w:rsid w:val="00563AC4"/>
    <w:rPr>
      <w:color w:val="605E5C"/>
      <w:shd w:val="clear" w:color="auto" w:fill="E1DFDD"/>
    </w:rPr>
  </w:style>
  <w:style w:type="character" w:styleId="Strong">
    <w:name w:val="Strong"/>
    <w:basedOn w:val="DefaultParagraphFont"/>
    <w:uiPriority w:val="22"/>
    <w:qFormat/>
    <w:rsid w:val="00563AC4"/>
    <w:rPr>
      <w:b/>
      <w:bCs/>
    </w:rPr>
  </w:style>
  <w:style w:type="paragraph" w:customStyle="1" w:styleId="Bodycopy">
    <w:name w:val="Body copy"/>
    <w:basedOn w:val="Normal"/>
    <w:link w:val="BodycopyChar"/>
    <w:qFormat/>
    <w:rsid w:val="00563AC4"/>
    <w:pPr>
      <w:spacing w:after="0" w:line="240" w:lineRule="auto"/>
    </w:pPr>
    <w:rPr>
      <w:rFonts w:asciiTheme="minorHAnsi" w:eastAsiaTheme="minorHAnsi" w:hAnsiTheme="minorHAnsi" w:cstheme="minorBidi"/>
      <w:lang w:val="en-GB"/>
    </w:rPr>
  </w:style>
  <w:style w:type="character" w:customStyle="1" w:styleId="BodycopyChar">
    <w:name w:val="Body copy Char"/>
    <w:basedOn w:val="DefaultParagraphFont"/>
    <w:link w:val="Bodycopy"/>
    <w:rsid w:val="00563AC4"/>
    <w:rPr>
      <w:kern w:val="0"/>
      <w:lang w:val="en-GB"/>
      <w14:ligatures w14:val="none"/>
    </w:rPr>
  </w:style>
  <w:style w:type="paragraph" w:customStyle="1" w:styleId="antraste">
    <w:name w:val="antraste"/>
    <w:basedOn w:val="Header"/>
    <w:autoRedefine/>
    <w:rsid w:val="00563AC4"/>
    <w:pPr>
      <w:tabs>
        <w:tab w:val="clear" w:pos="4819"/>
        <w:tab w:val="clear" w:pos="9638"/>
      </w:tabs>
      <w:ind w:left="1134" w:right="992"/>
      <w:jc w:val="center"/>
    </w:pPr>
    <w:rPr>
      <w:rFonts w:ascii="Cambria" w:eastAsia="Times New Roman" w:hAnsi="Cambria"/>
      <w:b/>
      <w:sz w:val="24"/>
      <w:szCs w:val="24"/>
    </w:rPr>
  </w:style>
  <w:style w:type="character" w:customStyle="1" w:styleId="diffaddedchars">
    <w:name w:val="diffaddedchars"/>
    <w:basedOn w:val="DefaultParagraphFont"/>
    <w:rsid w:val="00563AC4"/>
  </w:style>
  <w:style w:type="numbering" w:customStyle="1" w:styleId="NoList6">
    <w:name w:val="No List6"/>
    <w:next w:val="NoList"/>
    <w:uiPriority w:val="99"/>
    <w:semiHidden/>
    <w:unhideWhenUsed/>
    <w:rsid w:val="00563AC4"/>
  </w:style>
  <w:style w:type="table" w:customStyle="1" w:styleId="TableGrid3">
    <w:name w:val="Table Grid3"/>
    <w:basedOn w:val="TableNormal"/>
    <w:next w:val="TableGrid"/>
    <w:uiPriority w:val="59"/>
    <w:rsid w:val="00563A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63AC4"/>
    <w:pPr>
      <w:spacing w:after="0" w:line="240" w:lineRule="auto"/>
      <w:ind w:firstLine="312"/>
      <w:jc w:val="both"/>
    </w:pPr>
    <w:rPr>
      <w:rFonts w:ascii="TimesLT" w:eastAsia="Times New Roman" w:hAnsi="TimesLT" w:cs="TimesLT"/>
      <w:kern w:val="0"/>
      <w:sz w:val="20"/>
      <w:szCs w:val="20"/>
      <w:lang w:val="en-US"/>
      <w14:ligatures w14:val="none"/>
    </w:rPr>
  </w:style>
  <w:style w:type="character" w:styleId="UnresolvedMention">
    <w:name w:val="Unresolved Mention"/>
    <w:basedOn w:val="DefaultParagraphFont"/>
    <w:uiPriority w:val="99"/>
    <w:semiHidden/>
    <w:unhideWhenUsed/>
    <w:rsid w:val="00563AC4"/>
    <w:rPr>
      <w:color w:val="605E5C"/>
      <w:shd w:val="clear" w:color="auto" w:fill="E1DFDD"/>
    </w:rPr>
  </w:style>
  <w:style w:type="character" w:customStyle="1" w:styleId="ui-provider">
    <w:name w:val="ui-provider"/>
    <w:basedOn w:val="DefaultParagraphFont"/>
    <w:rsid w:val="00563AC4"/>
  </w:style>
  <w:style w:type="character" w:customStyle="1" w:styleId="normaltextrun">
    <w:name w:val="normaltextrun"/>
    <w:basedOn w:val="DefaultParagraphFont"/>
    <w:rsid w:val="00563AC4"/>
  </w:style>
  <w:style w:type="character" w:customStyle="1" w:styleId="cf01">
    <w:name w:val="cf01"/>
    <w:basedOn w:val="DefaultParagraphFont"/>
    <w:rsid w:val="00563AC4"/>
    <w:rPr>
      <w:rFonts w:ascii="Segoe UI" w:hAnsi="Segoe UI" w:cs="Segoe UI" w:hint="default"/>
      <w:sz w:val="18"/>
      <w:szCs w:val="18"/>
    </w:rPr>
  </w:style>
  <w:style w:type="character" w:customStyle="1" w:styleId="eop">
    <w:name w:val="eop"/>
    <w:basedOn w:val="DefaultParagraphFont"/>
    <w:rsid w:val="00563AC4"/>
  </w:style>
  <w:style w:type="paragraph" w:customStyle="1" w:styleId="paragraph">
    <w:name w:val="paragraph"/>
    <w:basedOn w:val="Normal"/>
    <w:rsid w:val="00563AC4"/>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9326</Words>
  <Characters>5317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Birutė Dabulevičienė</cp:lastModifiedBy>
  <cp:revision>14</cp:revision>
  <dcterms:created xsi:type="dcterms:W3CDTF">2024-12-19T00:12:00Z</dcterms:created>
  <dcterms:modified xsi:type="dcterms:W3CDTF">2024-12-19T11:47:00Z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2024-10-11T10:07:15Z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7d9a56c7-f283-442f-b065-baee8ac0d059</vt:lpwstr>
  </property>
  <property fmtid="{D5CDD505-2E9C-101B-9397-08002B2CF9AE}" pid="8" name="MSIP_Label_e5564178-1ca1-4992-b45e-fdaf9919e704_ContentBits">
    <vt:lpwstr>0</vt:lpwstr>
  </property>
</Properties>
</file>